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spacing w:before="360" w:after="0"/>
        <w:rPr>
          <w:sz w:val="36"/>
          <w:szCs w:val="36"/>
        </w:rPr>
      </w:pPr>
      <w:r>
        <w:rPr>
          <w:sz w:val="36"/>
          <w:szCs w:val="36"/>
        </w:rPr>
        <w:t>ПРОЕКТ</w:t>
      </w:r>
    </w:p>
    <w:p>
      <w:pPr>
        <w:pStyle w:val="Normal"/>
        <w:jc w:val="left"/>
        <w:rPr>
          <w:rFonts w:cs="Times New Roman"/>
          <w:sz w:val="40"/>
          <w:szCs w:val="40"/>
        </w:rPr>
      </w:pPr>
      <w:r>
        <w:rPr>
          <w:rFonts w:cs="Times New Roman"/>
          <w:sz w:val="40"/>
          <w:szCs w:val="40"/>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ind w:hanging="0"/>
        <w:jc w:val="center"/>
        <w:rPr>
          <w:rFonts w:cs="Times New Roman"/>
          <w:szCs w:val="26"/>
        </w:rPr>
      </w:pPr>
      <w:r>
        <w:rPr>
          <w:rFonts w:cs="Times New Roman"/>
          <w:szCs w:val="26"/>
        </w:rPr>
      </w:r>
    </w:p>
    <w:p>
      <w:pPr>
        <w:pStyle w:val="Normal"/>
        <w:jc w:val="center"/>
        <w:rPr>
          <w:rFonts w:cs="Times New Roman"/>
          <w:szCs w:val="26"/>
        </w:rPr>
      </w:pPr>
      <w:r>
        <w:rPr>
          <w:rFonts w:cs="Times New Roman"/>
          <w:szCs w:val="26"/>
        </w:rPr>
      </w:r>
    </w:p>
    <w:p>
      <w:pPr>
        <w:pStyle w:val="Normal"/>
        <w:jc w:val="center"/>
        <w:rPr>
          <w:rFonts w:cs="Times New Roman"/>
          <w:sz w:val="40"/>
          <w:szCs w:val="40"/>
        </w:rPr>
      </w:pPr>
      <w:r>
        <w:rPr>
          <w:rFonts w:cs="Times New Roman"/>
          <w:sz w:val="40"/>
          <w:szCs w:val="40"/>
        </w:rPr>
      </w:r>
    </w:p>
    <w:p>
      <w:pPr>
        <w:pStyle w:val="Normal"/>
        <w:ind w:hanging="0"/>
        <w:jc w:val="center"/>
        <w:rPr>
          <w:rFonts w:cs="Times New Roman"/>
          <w:sz w:val="40"/>
          <w:szCs w:val="40"/>
        </w:rPr>
      </w:pPr>
      <w:r>
        <w:rPr>
          <w:rFonts w:cs="Times New Roman"/>
          <w:sz w:val="40"/>
          <w:szCs w:val="40"/>
        </w:rPr>
        <w:t>Схема теплоснабжения до 2032 года поселка городского типа Курагино, Курагинского района, Красноярского края</w:t>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bookmarkStart w:id="0" w:name="_GoBack"/>
      <w:bookmarkStart w:id="1" w:name="_GoBack"/>
      <w:bookmarkEnd w:id="1"/>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center"/>
        <w:rPr>
          <w:rFonts w:cs="Times New Roman"/>
          <w:szCs w:val="26"/>
        </w:rPr>
      </w:pPr>
      <w:r>
        <w:rPr>
          <w:rFonts w:cs="Times New Roman"/>
          <w:szCs w:val="26"/>
        </w:rPr>
        <w:t>2024г.</w:t>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p>
      <w:pPr>
        <w:pStyle w:val="Normal"/>
        <w:jc w:val="right"/>
        <w:rPr>
          <w:rFonts w:cs="Times New Roman"/>
          <w:szCs w:val="26"/>
        </w:rPr>
      </w:pPr>
      <w:r>
        <w:rPr>
          <w:rFonts w:cs="Times New Roman"/>
          <w:szCs w:val="26"/>
        </w:rPr>
      </w:r>
    </w:p>
    <w:sdt>
      <w:sdtPr>
        <w:docPartObj>
          <w:docPartGallery w:val="Table of Contents"/>
          <w:docPartUnique w:val="true"/>
        </w:docPartObj>
      </w:sdtPr>
      <w:sdtContent>
        <w:p>
          <w:pPr>
            <w:pStyle w:val="Style28"/>
            <w:ind w:hanging="0"/>
            <w:jc w:val="center"/>
            <w:rPr>
              <w:rFonts w:cs="Times New Roman"/>
            </w:rPr>
          </w:pPr>
          <w:r>
            <w:rPr>
              <w:rFonts w:cs="Times New Roman"/>
              <w:color w:val="000000" w:themeColor="text1"/>
              <w:szCs w:val="26"/>
            </w:rPr>
            <w:t>Оглавление</w:t>
          </w:r>
        </w:p>
        <w:p>
          <w:pPr>
            <w:pStyle w:val="12"/>
            <w:rPr>
              <w:rFonts w:ascii="Calibri" w:hAnsi="Calibri" w:eastAsia="" w:asciiTheme="minorHAnsi" w:eastAsiaTheme="minorEastAsia" w:hAnsiTheme="minorHAnsi"/>
              <w:sz w:val="22"/>
              <w:lang w:eastAsia="ru-RU"/>
            </w:rPr>
          </w:pPr>
          <w:r>
            <w:fldChar w:fldCharType="begin"/>
          </w:r>
          <w:r>
            <w:rPr>
              <w:webHidden/>
            </w:rPr>
            <w:instrText> TOC \z \o "1-3" \u \h</w:instrText>
          </w:r>
          <w:r>
            <w:rPr>
              <w:webHidden/>
            </w:rPr>
            <w:fldChar w:fldCharType="separate"/>
          </w:r>
          <w:hyperlink w:anchor="_Toc467665662">
            <w:r>
              <w:rPr>
                <w:webHidden/>
              </w:rPr>
              <w:t>Используемые в настоящем документе понятия</w:t>
            </w:r>
            <w:r>
              <w:rPr>
                <w:webHidden/>
              </w:rPr>
              <w:fldChar w:fldCharType="begin"/>
            </w:r>
            <w:r>
              <w:rPr>
                <w:webHidden/>
              </w:rPr>
              <w:instrText>PAGEREF _Toc467665662 \h</w:instrText>
            </w:r>
            <w:r>
              <w:rPr>
                <w:webHidden/>
              </w:rPr>
              <w:fldChar w:fldCharType="separate"/>
            </w:r>
            <w:r>
              <w:rPr>
                <w:vanish w:val="false"/>
              </w:rPr>
              <w:tab/>
              <w:t>5</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63">
            <w:r>
              <w:rPr>
                <w:webHidden/>
              </w:rPr>
              <w:t xml:space="preserve">Раздел 1. </w:t>
            </w:r>
            <w:r>
              <w:rPr>
                <w:rFonts w:eastAsia="Times New Roman" w:cs="Times New Roman"/>
              </w:rPr>
              <w:t>Показатели перспективного спроса на тепловую энергию (мощность) и теплоноситель в установленных границах территории населенного пункта</w:t>
            </w:r>
            <w:r>
              <w:rPr>
                <w:webHidden/>
              </w:rPr>
              <w:fldChar w:fldCharType="begin"/>
            </w:r>
            <w:r>
              <w:rPr>
                <w:webHidden/>
              </w:rPr>
              <w:instrText>PAGEREF _Toc467665663 \h</w:instrText>
            </w:r>
            <w:r>
              <w:rPr>
                <w:webHidden/>
              </w:rPr>
              <w:fldChar w:fldCharType="separate"/>
            </w:r>
            <w:r>
              <w:rPr>
                <w:vanish w:val="false"/>
              </w:rPr>
              <w:tab/>
              <w:t>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64">
            <w:r>
              <w:rPr>
                <w:webHidden/>
              </w:rPr>
              <w:t>1.1. Площадь строительных фондов и приросты площади строительных фондов по расчетным элементам территориального деления</w:t>
            </w:r>
            <w:r>
              <w:rPr>
                <w:webHidden/>
              </w:rPr>
              <w:fldChar w:fldCharType="begin"/>
            </w:r>
            <w:r>
              <w:rPr>
                <w:webHidden/>
              </w:rPr>
              <w:instrText>PAGEREF _Toc467665664 \h</w:instrText>
            </w:r>
            <w:r>
              <w:rPr>
                <w:webHidden/>
              </w:rPr>
              <w:fldChar w:fldCharType="separate"/>
            </w:r>
            <w:r>
              <w:rPr>
                <w:vanish w:val="false"/>
              </w:rPr>
              <w:tab/>
              <w:t>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65">
            <w:r>
              <w:rPr>
                <w:webHidden/>
              </w:rPr>
              <w:t>1.2. Объемы потребления тепловой энергии (мощности), теплоносителя и приросты потребления тепловой энергии (мощности), теплоносителя</w:t>
            </w:r>
            <w:r>
              <w:rPr>
                <w:webHidden/>
              </w:rPr>
              <w:fldChar w:fldCharType="begin"/>
            </w:r>
            <w:r>
              <w:rPr>
                <w:webHidden/>
              </w:rPr>
              <w:instrText>PAGEREF _Toc467665665 \h</w:instrText>
            </w:r>
            <w:r>
              <w:rPr>
                <w:webHidden/>
              </w:rPr>
              <w:fldChar w:fldCharType="separate"/>
            </w:r>
            <w:r>
              <w:rPr>
                <w:vanish w:val="false"/>
              </w:rPr>
              <w:tab/>
              <w:t>15</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66">
            <w:r>
              <w:rPr>
                <w:webHidden/>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Pr>
                <w:webHidden/>
              </w:rPr>
              <w:fldChar w:fldCharType="begin"/>
            </w:r>
            <w:r>
              <w:rPr>
                <w:webHidden/>
              </w:rPr>
              <w:instrText>PAGEREF _Toc467665666 \h</w:instrText>
            </w:r>
            <w:r>
              <w:rPr>
                <w:webHidden/>
              </w:rPr>
              <w:fldChar w:fldCharType="separate"/>
            </w:r>
            <w:r>
              <w:rPr>
                <w:vanish w:val="false"/>
              </w:rPr>
              <w:tab/>
              <w:t>19</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67">
            <w:r>
              <w:rPr>
                <w:webHidden/>
              </w:rPr>
              <w:t>Раздел 2. Перспективные балансы располагаемой тепловой мощности источников тепловой энергии и тепловой нагрузки потребителей</w:t>
            </w:r>
            <w:r>
              <w:rPr>
                <w:webHidden/>
              </w:rPr>
              <w:fldChar w:fldCharType="begin"/>
            </w:r>
            <w:r>
              <w:rPr>
                <w:webHidden/>
              </w:rPr>
              <w:instrText>PAGEREF _Toc467665667 \h</w:instrText>
            </w:r>
            <w:r>
              <w:rPr>
                <w:webHidden/>
              </w:rPr>
              <w:fldChar w:fldCharType="separate"/>
            </w:r>
            <w:r>
              <w:rPr>
                <w:vanish w:val="false"/>
              </w:rPr>
              <w:tab/>
              <w:t>20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68">
            <w:r>
              <w:rPr>
                <w:webHidden/>
              </w:rPr>
              <w:t>2.1. Радиус эффективного теплоснабжения</w:t>
            </w:r>
            <w:r>
              <w:rPr>
                <w:webHidden/>
              </w:rPr>
              <w:fldChar w:fldCharType="begin"/>
            </w:r>
            <w:r>
              <w:rPr>
                <w:webHidden/>
              </w:rPr>
              <w:instrText>PAGEREF _Toc467665668 \h</w:instrText>
            </w:r>
            <w:r>
              <w:rPr>
                <w:webHidden/>
              </w:rPr>
              <w:fldChar w:fldCharType="separate"/>
            </w:r>
            <w:r>
              <w:rPr>
                <w:vanish w:val="false"/>
              </w:rPr>
              <w:tab/>
              <w:t>20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69">
            <w:r>
              <w:rPr>
                <w:webHidden/>
              </w:rPr>
              <w:t>2.2. Описание существующих и перспективных зон действия систем теплоснабжения и источников тепловой энергии</w:t>
            </w:r>
            <w:r>
              <w:rPr>
                <w:webHidden/>
              </w:rPr>
              <w:fldChar w:fldCharType="begin"/>
            </w:r>
            <w:r>
              <w:rPr>
                <w:webHidden/>
              </w:rPr>
              <w:instrText>PAGEREF _Toc467665669 \h</w:instrText>
            </w:r>
            <w:r>
              <w:rPr>
                <w:webHidden/>
              </w:rPr>
              <w:fldChar w:fldCharType="separate"/>
            </w:r>
            <w:r>
              <w:rPr>
                <w:vanish w:val="false"/>
              </w:rPr>
              <w:tab/>
              <w:t>20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0">
            <w:r>
              <w:rPr>
                <w:webHidden/>
              </w:rPr>
              <w:t>2.3. Описание существующих и перспективных зон действия индивидуальных источников тепловой энергии</w:t>
            </w:r>
            <w:r>
              <w:rPr>
                <w:webHidden/>
              </w:rPr>
              <w:fldChar w:fldCharType="begin"/>
            </w:r>
            <w:r>
              <w:rPr>
                <w:webHidden/>
              </w:rPr>
              <w:instrText>PAGEREF _Toc467665670 \h</w:instrText>
            </w:r>
            <w:r>
              <w:rPr>
                <w:webHidden/>
              </w:rPr>
              <w:fldChar w:fldCharType="separate"/>
            </w:r>
            <w:r>
              <w:rPr>
                <w:vanish w:val="false"/>
              </w:rPr>
              <w:tab/>
              <w:t>22</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1">
            <w:r>
              <w:rPr>
                <w:webHidden/>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Pr>
                <w:webHidden/>
              </w:rPr>
              <w:fldChar w:fldCharType="begin"/>
            </w:r>
            <w:r>
              <w:rPr>
                <w:webHidden/>
              </w:rPr>
              <w:instrText>PAGEREF _Toc467665671 \h</w:instrText>
            </w:r>
            <w:r>
              <w:rPr>
                <w:webHidden/>
              </w:rPr>
              <w:fldChar w:fldCharType="separate"/>
            </w:r>
            <w:r>
              <w:rPr>
                <w:vanish w:val="false"/>
              </w:rPr>
              <w:tab/>
              <w:t>22</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72">
            <w:r>
              <w:rPr>
                <w:webHidden/>
              </w:rPr>
              <w:t>Раздел 3. Перспективные балансы теплоносителя</w:t>
            </w:r>
            <w:r>
              <w:rPr>
                <w:webHidden/>
              </w:rPr>
              <w:fldChar w:fldCharType="begin"/>
            </w:r>
            <w:r>
              <w:rPr>
                <w:webHidden/>
              </w:rPr>
              <w:instrText>PAGEREF _Toc467665672 \h</w:instrText>
            </w:r>
            <w:r>
              <w:rPr>
                <w:webHidden/>
              </w:rPr>
              <w:fldChar w:fldCharType="separate"/>
            </w:r>
            <w:r>
              <w:rPr>
                <w:vanish w:val="false"/>
              </w:rPr>
              <w:tab/>
              <w:t>26</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3">
            <w:r>
              <w:rPr>
                <w:webHidden/>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Pr>
                <w:webHidden/>
              </w:rPr>
              <w:fldChar w:fldCharType="begin"/>
            </w:r>
            <w:r>
              <w:rPr>
                <w:webHidden/>
              </w:rPr>
              <w:instrText>PAGEREF _Toc467665673 \h</w:instrText>
            </w:r>
            <w:r>
              <w:rPr>
                <w:webHidden/>
              </w:rPr>
              <w:fldChar w:fldCharType="separate"/>
            </w:r>
            <w:r>
              <w:rPr>
                <w:vanish w:val="false"/>
              </w:rPr>
              <w:tab/>
              <w:t>26</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4">
            <w:r>
              <w:rPr>
                <w:webHidden/>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Pr>
                <w:webHidden/>
              </w:rPr>
              <w:fldChar w:fldCharType="begin"/>
            </w:r>
            <w:r>
              <w:rPr>
                <w:webHidden/>
              </w:rPr>
              <w:instrText>PAGEREF _Toc467665674 \h</w:instrText>
            </w:r>
            <w:r>
              <w:rPr>
                <w:webHidden/>
              </w:rPr>
              <w:fldChar w:fldCharType="separate"/>
            </w:r>
            <w:r>
              <w:rPr>
                <w:vanish w:val="false"/>
              </w:rPr>
              <w:tab/>
              <w:t>26</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75">
            <w:r>
              <w:rPr>
                <w:webHidden/>
              </w:rPr>
              <w:t>Раздел 4. Предложения по строительству, реконструкции и техническому перевооружению источников тепловой энергии</w:t>
            </w:r>
            <w:r>
              <w:rPr>
                <w:webHidden/>
              </w:rPr>
              <w:fldChar w:fldCharType="begin"/>
            </w:r>
            <w:r>
              <w:rPr>
                <w:webHidden/>
              </w:rPr>
              <w:instrText>PAGEREF _Toc467665675 \h</w:instrText>
            </w:r>
            <w:r>
              <w:rPr>
                <w:webHidden/>
              </w:rPr>
              <w:fldChar w:fldCharType="separate"/>
            </w:r>
            <w:r>
              <w:rPr>
                <w:vanish w:val="false"/>
              </w:rPr>
              <w:tab/>
              <w:t>28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6">
            <w:r>
              <w:rPr>
                <w:webHidden/>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Pr>
                <w:webHidden/>
              </w:rPr>
              <w:fldChar w:fldCharType="begin"/>
            </w:r>
            <w:r>
              <w:rPr>
                <w:webHidden/>
              </w:rPr>
              <w:instrText>PAGEREF _Toc467665676 \h</w:instrText>
            </w:r>
            <w:r>
              <w:rPr>
                <w:webHidden/>
              </w:rPr>
              <w:fldChar w:fldCharType="separate"/>
            </w:r>
            <w:r>
              <w:rPr>
                <w:vanish w:val="false"/>
              </w:rPr>
              <w:tab/>
              <w:t>28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7">
            <w:r>
              <w:rPr>
                <w:webHidden/>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Pr>
                <w:webHidden/>
              </w:rPr>
              <w:fldChar w:fldCharType="begin"/>
            </w:r>
            <w:r>
              <w:rPr>
                <w:webHidden/>
              </w:rPr>
              <w:instrText>PAGEREF _Toc467665677 \h</w:instrText>
            </w:r>
            <w:r>
              <w:rPr>
                <w:webHidden/>
              </w:rPr>
              <w:fldChar w:fldCharType="separate"/>
            </w:r>
            <w:r>
              <w:rPr>
                <w:vanish w:val="false"/>
              </w:rPr>
              <w:tab/>
              <w:t>28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8">
            <w:r>
              <w:rPr>
                <w:webHidden/>
              </w:rPr>
              <w:t>4.3. Предложения по техническому перевооружению источников тепловой энергии с целью повышения эффективности работы систем теплоснабжения</w:t>
            </w:r>
            <w:r>
              <w:rPr>
                <w:webHidden/>
              </w:rPr>
              <w:fldChar w:fldCharType="begin"/>
            </w:r>
            <w:r>
              <w:rPr>
                <w:webHidden/>
              </w:rPr>
              <w:instrText>PAGEREF _Toc467665678 \h</w:instrText>
            </w:r>
            <w:r>
              <w:rPr>
                <w:webHidden/>
              </w:rPr>
              <w:fldChar w:fldCharType="separate"/>
            </w:r>
            <w:r>
              <w:rPr>
                <w:vanish w:val="false"/>
              </w:rPr>
              <w:tab/>
              <w:t>28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79">
            <w:r>
              <w:rPr>
                <w:webHidden/>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Pr>
                <w:webHidden/>
              </w:rPr>
              <w:fldChar w:fldCharType="begin"/>
            </w:r>
            <w:r>
              <w:rPr>
                <w:webHidden/>
              </w:rPr>
              <w:instrText>PAGEREF _Toc467665679 \h</w:instrText>
            </w:r>
            <w:r>
              <w:rPr>
                <w:webHidden/>
              </w:rPr>
              <w:fldChar w:fldCharType="separate"/>
            </w:r>
            <w:r>
              <w:rPr>
                <w:vanish w:val="false"/>
              </w:rPr>
              <w:tab/>
              <w:t>28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0">
            <w:r>
              <w:rPr>
                <w:webHidden/>
              </w:rPr>
              <w:t>4.5. Меры по переоборудованию котельных в источники комбинированной выработки электрической и тепловой энергии для каждого этапа</w:t>
            </w:r>
            <w:r>
              <w:rPr>
                <w:webHidden/>
              </w:rPr>
              <w:fldChar w:fldCharType="begin"/>
            </w:r>
            <w:r>
              <w:rPr>
                <w:webHidden/>
              </w:rPr>
              <w:instrText>PAGEREF _Toc467665680 \h</w:instrText>
            </w:r>
            <w:r>
              <w:rPr>
                <w:webHidden/>
              </w:rPr>
              <w:fldChar w:fldCharType="separate"/>
            </w:r>
            <w:r>
              <w:rPr>
                <w:vanish w:val="false"/>
              </w:rPr>
              <w:tab/>
              <w:t>28</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1">
            <w:r>
              <w:rPr>
                <w:webHidden/>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Pr>
                <w:webHidden/>
              </w:rPr>
              <w:fldChar w:fldCharType="begin"/>
            </w:r>
            <w:r>
              <w:rPr>
                <w:webHidden/>
              </w:rPr>
              <w:instrText>PAGEREF _Toc467665681 \h</w:instrText>
            </w:r>
            <w:r>
              <w:rPr>
                <w:webHidden/>
              </w:rPr>
              <w:fldChar w:fldCharType="separate"/>
            </w:r>
            <w:r>
              <w:rPr>
                <w:vanish w:val="false"/>
              </w:rPr>
              <w:tab/>
              <w:t>29</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2">
            <w:r>
              <w:rPr>
                <w:webHidden/>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Pr>
                <w:webHidden/>
              </w:rPr>
              <w:fldChar w:fldCharType="begin"/>
            </w:r>
            <w:r>
              <w:rPr>
                <w:webHidden/>
              </w:rPr>
              <w:instrText>PAGEREF _Toc467665682 \h</w:instrText>
            </w:r>
            <w:r>
              <w:rPr>
                <w:webHidden/>
              </w:rPr>
              <w:fldChar w:fldCharType="separate"/>
            </w:r>
            <w:r>
              <w:rPr>
                <w:vanish w:val="false"/>
              </w:rPr>
              <w:tab/>
              <w:t>29</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3">
            <w:r>
              <w:rPr>
                <w:webHidden/>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Pr>
                <w:webHidden/>
              </w:rPr>
              <w:fldChar w:fldCharType="begin"/>
            </w:r>
            <w:r>
              <w:rPr>
                <w:webHidden/>
              </w:rPr>
              <w:instrText>PAGEREF _Toc467665683 \h</w:instrText>
            </w:r>
            <w:r>
              <w:rPr>
                <w:webHidden/>
              </w:rPr>
              <w:fldChar w:fldCharType="separate"/>
            </w:r>
            <w:r>
              <w:rPr>
                <w:vanish w:val="false"/>
              </w:rPr>
              <w:tab/>
              <w:t>29</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4">
            <w:r>
              <w:rPr>
                <w:webHidden/>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Pr>
                <w:webHidden/>
              </w:rPr>
              <w:fldChar w:fldCharType="begin"/>
            </w:r>
            <w:r>
              <w:rPr>
                <w:webHidden/>
              </w:rPr>
              <w:instrText>PAGEREF _Toc467665684 \h</w:instrText>
            </w:r>
            <w:r>
              <w:rPr>
                <w:webHidden/>
              </w:rPr>
              <w:fldChar w:fldCharType="separate"/>
            </w:r>
            <w:r>
              <w:rPr>
                <w:vanish w:val="false"/>
              </w:rPr>
              <w:tab/>
              <w:t>29</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85">
            <w:r>
              <w:rPr>
                <w:webHidden/>
              </w:rPr>
              <w:t>Раздел 5. Предложения по строительству и реконструкции тепловых сетей</w:t>
            </w:r>
            <w:r>
              <w:rPr>
                <w:webHidden/>
              </w:rPr>
              <w:fldChar w:fldCharType="begin"/>
            </w:r>
            <w:r>
              <w:rPr>
                <w:webHidden/>
              </w:rPr>
              <w:instrText>PAGEREF _Toc467665685 \h</w:instrText>
            </w:r>
            <w:r>
              <w:rPr>
                <w:webHidden/>
              </w:rPr>
              <w:fldChar w:fldCharType="separate"/>
            </w:r>
            <w:r>
              <w:rPr>
                <w:vanish w:val="false"/>
              </w:rPr>
              <w:tab/>
              <w:t>30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6">
            <w:r>
              <w:rPr>
                <w:webHidden/>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Pr>
                <w:webHidden/>
              </w:rPr>
              <w:fldChar w:fldCharType="begin"/>
            </w:r>
            <w:r>
              <w:rPr>
                <w:webHidden/>
              </w:rPr>
              <w:instrText>PAGEREF _Toc467665686 \h</w:instrText>
            </w:r>
            <w:r>
              <w:rPr>
                <w:webHidden/>
              </w:rPr>
              <w:fldChar w:fldCharType="separate"/>
            </w:r>
            <w:r>
              <w:rPr>
                <w:vanish w:val="false"/>
              </w:rPr>
              <w:tab/>
              <w:t>30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7">
            <w:r>
              <w:rPr>
                <w:webHidden/>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Pr>
                <w:webHidden/>
              </w:rPr>
              <w:fldChar w:fldCharType="begin"/>
            </w:r>
            <w:r>
              <w:rPr>
                <w:webHidden/>
              </w:rPr>
              <w:instrText>PAGEREF _Toc467665687 \h</w:instrText>
            </w:r>
            <w:r>
              <w:rPr>
                <w:webHidden/>
              </w:rPr>
              <w:fldChar w:fldCharType="separate"/>
            </w:r>
            <w:r>
              <w:rPr>
                <w:vanish w:val="false"/>
              </w:rPr>
              <w:tab/>
              <w:t>30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8">
            <w:r>
              <w:rPr>
                <w:webHidden/>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webHidden/>
              </w:rPr>
              <w:fldChar w:fldCharType="begin"/>
            </w:r>
            <w:r>
              <w:rPr>
                <w:webHidden/>
              </w:rPr>
              <w:instrText>PAGEREF _Toc467665688 \h</w:instrText>
            </w:r>
            <w:r>
              <w:rPr>
                <w:webHidden/>
              </w:rPr>
              <w:fldChar w:fldCharType="separate"/>
            </w:r>
            <w:r>
              <w:rPr>
                <w:vanish w:val="false"/>
              </w:rPr>
              <w:tab/>
              <w:t>30</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89">
            <w:r>
              <w:rPr>
                <w:webHidden/>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Pr>
                <w:webHidden/>
              </w:rPr>
              <w:fldChar w:fldCharType="begin"/>
            </w:r>
            <w:r>
              <w:rPr>
                <w:webHidden/>
              </w:rPr>
              <w:instrText>PAGEREF _Toc467665689 \h</w:instrText>
            </w:r>
            <w:r>
              <w:rPr>
                <w:webHidden/>
              </w:rPr>
              <w:fldChar w:fldCharType="separate"/>
            </w:r>
            <w:r>
              <w:rPr>
                <w:vanish w:val="false"/>
              </w:rPr>
              <w:tab/>
              <w:t>31</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90">
            <w:r>
              <w:rPr>
                <w:webHidden/>
              </w:rPr>
              <w:t>5.5.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Pr>
                <w:webHidden/>
              </w:rPr>
              <w:fldChar w:fldCharType="begin"/>
            </w:r>
            <w:r>
              <w:rPr>
                <w:webHidden/>
              </w:rPr>
              <w:instrText>PAGEREF _Toc467665690 \h</w:instrText>
            </w:r>
            <w:r>
              <w:rPr>
                <w:webHidden/>
              </w:rPr>
              <w:fldChar w:fldCharType="separate"/>
            </w:r>
            <w:r>
              <w:rPr>
                <w:vanish w:val="false"/>
              </w:rPr>
              <w:tab/>
              <w:t>31</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91">
            <w:r>
              <w:rPr>
                <w:webHidden/>
              </w:rPr>
              <w:t>Раздел 6. Перспективные топливные балансы</w:t>
            </w:r>
            <w:r>
              <w:rPr>
                <w:webHidden/>
              </w:rPr>
              <w:fldChar w:fldCharType="begin"/>
            </w:r>
            <w:r>
              <w:rPr>
                <w:webHidden/>
              </w:rPr>
              <w:instrText>PAGEREF _Toc467665691 \h</w:instrText>
            </w:r>
            <w:r>
              <w:rPr>
                <w:webHidden/>
              </w:rPr>
              <w:fldChar w:fldCharType="separate"/>
            </w:r>
            <w:r>
              <w:rPr>
                <w:vanish w:val="false"/>
              </w:rPr>
              <w:tab/>
              <w:t>32</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92">
            <w:r>
              <w:rPr>
                <w:webHidden/>
              </w:rPr>
              <w:t xml:space="preserve">6.1. Перспективные топливные балансы для каждого источника тепловой энергии, расположенного в границах поселения, </w:t>
            </w:r>
            <w:r>
              <w:rPr>
                <w:rFonts w:cs="TimesNewRoman" w:ascii="TimesNewRoman" w:hAnsi="TimesNewRoman"/>
              </w:rPr>
              <w:t xml:space="preserve">городского округа </w:t>
            </w:r>
            <w:r>
              <w:rPr/>
              <w:t>по видам основного, резервного и аварийного топлива на каждом этапе</w:t>
            </w:r>
            <w:r>
              <w:rPr>
                <w:webHidden/>
              </w:rPr>
              <w:fldChar w:fldCharType="begin"/>
            </w:r>
            <w:r>
              <w:rPr>
                <w:webHidden/>
              </w:rPr>
              <w:instrText>PAGEREF _Toc467665692 \h</w:instrText>
            </w:r>
            <w:r>
              <w:rPr>
                <w:webHidden/>
              </w:rPr>
              <w:fldChar w:fldCharType="separate"/>
            </w:r>
            <w:r>
              <w:rPr>
                <w:vanish w:val="false"/>
              </w:rPr>
              <w:tab/>
              <w:t>32</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93">
            <w:r>
              <w:rPr>
                <w:webHidden/>
              </w:rPr>
              <w:t>Раздел 7. Инвестиции в строительство, реконструкцию и техническое перевооружение</w:t>
            </w:r>
            <w:r>
              <w:rPr>
                <w:webHidden/>
              </w:rPr>
              <w:fldChar w:fldCharType="begin"/>
            </w:r>
            <w:r>
              <w:rPr>
                <w:webHidden/>
              </w:rPr>
              <w:instrText>PAGEREF _Toc467665693 \h</w:instrText>
            </w:r>
            <w:r>
              <w:rPr>
                <w:webHidden/>
              </w:rPr>
              <w:fldChar w:fldCharType="separate"/>
            </w:r>
            <w:r>
              <w:rPr>
                <w:vanish w:val="false"/>
              </w:rPr>
              <w:tab/>
              <w:t>33</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94">
            <w:r>
              <w:rPr>
                <w:webHidden/>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Pr>
                <w:webHidden/>
              </w:rPr>
              <w:fldChar w:fldCharType="begin"/>
            </w:r>
            <w:r>
              <w:rPr>
                <w:webHidden/>
              </w:rPr>
              <w:instrText>PAGEREF _Toc467665694 \h</w:instrText>
            </w:r>
            <w:r>
              <w:rPr>
                <w:webHidden/>
              </w:rPr>
              <w:fldChar w:fldCharType="separate"/>
            </w:r>
            <w:r>
              <w:rPr>
                <w:vanish w:val="false"/>
              </w:rPr>
              <w:tab/>
              <w:t>33</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95">
            <w:r>
              <w:rPr>
                <w:webHidden/>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Pr>
                <w:webHidden/>
              </w:rPr>
              <w:fldChar w:fldCharType="begin"/>
            </w:r>
            <w:r>
              <w:rPr>
                <w:webHidden/>
              </w:rPr>
              <w:instrText>PAGEREF _Toc467665695 \h</w:instrText>
            </w:r>
            <w:r>
              <w:rPr>
                <w:webHidden/>
              </w:rPr>
              <w:fldChar w:fldCharType="separate"/>
            </w:r>
            <w:r>
              <w:rPr>
                <w:vanish w:val="false"/>
              </w:rPr>
              <w:tab/>
              <w:t>35</w:t>
            </w:r>
            <w:r>
              <w:rPr>
                <w:webHidden/>
              </w:rPr>
              <w:fldChar w:fldCharType="end"/>
            </w:r>
          </w:hyperlink>
        </w:p>
        <w:p>
          <w:pPr>
            <w:pStyle w:val="210"/>
            <w:rPr>
              <w:rFonts w:ascii="Calibri" w:hAnsi="Calibri" w:eastAsia="" w:asciiTheme="minorHAnsi" w:eastAsiaTheme="minorEastAsia" w:hAnsiTheme="minorHAnsi"/>
              <w:sz w:val="22"/>
              <w:lang w:eastAsia="ru-RU"/>
            </w:rPr>
          </w:pPr>
          <w:hyperlink w:anchor="_Toc467665696">
            <w:r>
              <w:rPr>
                <w:webHidden/>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Pr>
                <w:webHidden/>
              </w:rPr>
              <w:fldChar w:fldCharType="begin"/>
            </w:r>
            <w:r>
              <w:rPr>
                <w:webHidden/>
              </w:rPr>
              <w:instrText>PAGEREF _Toc467665696 \h</w:instrText>
            </w:r>
            <w:r>
              <w:rPr>
                <w:webHidden/>
              </w:rPr>
              <w:fldChar w:fldCharType="separate"/>
            </w:r>
            <w:r>
              <w:rPr>
                <w:vanish w:val="false"/>
              </w:rPr>
              <w:tab/>
              <w:t>37</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97">
            <w:r>
              <w:rPr>
                <w:webHidden/>
              </w:rPr>
              <w:t>Раздел 8. Решение об определении единой теплоснабжающей организации</w:t>
            </w:r>
            <w:r>
              <w:rPr>
                <w:webHidden/>
              </w:rPr>
              <w:fldChar w:fldCharType="begin"/>
            </w:r>
            <w:r>
              <w:rPr>
                <w:webHidden/>
              </w:rPr>
              <w:instrText>PAGEREF _Toc467665697 \h</w:instrText>
            </w:r>
            <w:r>
              <w:rPr>
                <w:webHidden/>
              </w:rPr>
              <w:fldChar w:fldCharType="separate"/>
            </w:r>
            <w:r>
              <w:rPr>
                <w:vanish w:val="false"/>
              </w:rPr>
              <w:tab/>
              <w:t>38</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98">
            <w:r>
              <w:rPr>
                <w:webHidden/>
              </w:rPr>
              <w:t>Раздел 9. Решения о распределении тепловой нагрузки между источниками тепловой энергии</w:t>
            </w:r>
            <w:r>
              <w:rPr>
                <w:webHidden/>
              </w:rPr>
              <w:fldChar w:fldCharType="begin"/>
            </w:r>
            <w:r>
              <w:rPr>
                <w:webHidden/>
              </w:rPr>
              <w:instrText>PAGEREF _Toc467665698 \h</w:instrText>
            </w:r>
            <w:r>
              <w:rPr>
                <w:webHidden/>
              </w:rPr>
              <w:fldChar w:fldCharType="separate"/>
            </w:r>
            <w:r>
              <w:rPr>
                <w:vanish w:val="false"/>
              </w:rPr>
              <w:tab/>
              <w:t>39</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699">
            <w:r>
              <w:rPr>
                <w:webHidden/>
              </w:rPr>
              <w:t>Раздел 10. Решения по бесхозяйным тепловым сетям</w:t>
            </w:r>
            <w:r>
              <w:rPr>
                <w:webHidden/>
              </w:rPr>
              <w:fldChar w:fldCharType="begin"/>
            </w:r>
            <w:r>
              <w:rPr>
                <w:webHidden/>
              </w:rPr>
              <w:instrText>PAGEREF _Toc467665699 \h</w:instrText>
            </w:r>
            <w:r>
              <w:rPr>
                <w:webHidden/>
              </w:rPr>
              <w:fldChar w:fldCharType="separate"/>
            </w:r>
            <w:r>
              <w:rPr>
                <w:vanish w:val="false"/>
              </w:rPr>
              <w:tab/>
              <w:t>40</w:t>
            </w:r>
            <w:r>
              <w:rPr>
                <w:webHidden/>
              </w:rPr>
              <w:fldChar w:fldCharType="end"/>
            </w:r>
          </w:hyperlink>
        </w:p>
        <w:p>
          <w:pPr>
            <w:pStyle w:val="12"/>
            <w:rPr>
              <w:rFonts w:ascii="Calibri" w:hAnsi="Calibri" w:eastAsia="" w:asciiTheme="minorHAnsi" w:eastAsiaTheme="minorEastAsia" w:hAnsiTheme="minorHAnsi"/>
              <w:sz w:val="22"/>
              <w:lang w:eastAsia="ru-RU"/>
            </w:rPr>
          </w:pPr>
          <w:hyperlink w:anchor="_Toc467665700">
            <w:r>
              <w:rPr>
                <w:webHidden/>
              </w:rPr>
              <w:t>Заключение</w:t>
            </w:r>
            <w:r>
              <w:rPr>
                <w:rFonts w:cs="Times New Roman"/>
                <w:lang w:eastAsia="ru-RU" w:bidi="ru-RU"/>
              </w:rPr>
              <w:t>.</w:t>
            </w:r>
            <w:r>
              <w:rPr>
                <w:webHidden/>
              </w:rPr>
              <w:fldChar w:fldCharType="begin"/>
            </w:r>
            <w:r>
              <w:rPr>
                <w:webHidden/>
              </w:rPr>
              <w:instrText>PAGEREF _Toc467665700 \h</w:instrText>
            </w:r>
            <w:r>
              <w:rPr>
                <w:webHidden/>
              </w:rPr>
              <w:fldChar w:fldCharType="separate"/>
            </w:r>
            <w:r>
              <w:rPr>
                <w:vanish w:val="false"/>
              </w:rPr>
              <w:tab/>
              <w:t>41</w:t>
            </w:r>
            <w:r>
              <w:rPr>
                <w:webHidden/>
              </w:rPr>
              <w:fldChar w:fldCharType="end"/>
            </w:r>
          </w:hyperlink>
        </w:p>
        <w:p>
          <w:pPr>
            <w:pStyle w:val="Normal"/>
            <w:ind w:left="57" w:firstLine="709"/>
            <w:rPr/>
          </w:pPr>
          <w:r>
            <w:rPr/>
          </w:r>
          <w:r>
            <w:rPr/>
            <w:fldChar w:fldCharType="end"/>
          </w:r>
        </w:p>
      </w:sdtContent>
    </w:sdt>
    <w:p>
      <w:pPr>
        <w:pStyle w:val="12"/>
        <w:rPr>
          <w:b/>
          <w:b/>
          <w:bCs/>
          <w:sz w:val="24"/>
          <w:szCs w:val="26"/>
        </w:rPr>
      </w:pPr>
      <w:r>
        <w:rPr>
          <w:b/>
          <w:bCs/>
          <w:sz w:val="24"/>
          <w:szCs w:val="26"/>
        </w:rPr>
      </w:r>
    </w:p>
    <w:p>
      <w:pPr>
        <w:pStyle w:val="Normal"/>
        <w:rPr>
          <w:szCs w:val="26"/>
        </w:rPr>
      </w:pPr>
      <w:r>
        <w:rPr>
          <w:szCs w:val="26"/>
        </w:rPr>
      </w:r>
    </w:p>
    <w:p>
      <w:pPr>
        <w:pStyle w:val="Normal"/>
        <w:ind w:hanging="0"/>
        <w:rPr>
          <w:rFonts w:eastAsia="" w:cs="" w:cstheme="majorBidi" w:eastAsiaTheme="majorEastAsia"/>
          <w:b/>
          <w:b/>
          <w:bCs/>
          <w:szCs w:val="28"/>
        </w:rPr>
      </w:pPr>
      <w:r>
        <w:rPr>
          <w:rFonts w:eastAsia="" w:cs="" w:cstheme="majorBidi" w:eastAsiaTheme="majorEastAsia"/>
          <w:b/>
          <w:bCs/>
          <w:szCs w:val="28"/>
        </w:rPr>
      </w:r>
      <w:bookmarkStart w:id="2" w:name="_Toc395187769"/>
      <w:bookmarkStart w:id="3" w:name="_Toc395187769"/>
      <w:bookmarkEnd w:id="3"/>
      <w:r>
        <w:br w:type="page"/>
      </w:r>
    </w:p>
    <w:p>
      <w:pPr>
        <w:pStyle w:val="1"/>
        <w:rPr/>
      </w:pPr>
      <w:bookmarkStart w:id="4" w:name="_Toc395187769"/>
      <w:bookmarkStart w:id="5" w:name="_Toc419202569"/>
      <w:bookmarkStart w:id="6" w:name="_Toc395187778"/>
      <w:bookmarkStart w:id="7" w:name="_Toc467665662"/>
      <w:bookmarkStart w:id="8" w:name="_Toc419202568"/>
      <w:bookmarkEnd w:id="4"/>
      <w:r>
        <w:rPr/>
        <w:t>Используемые в настоящем документе понятия</w:t>
      </w:r>
      <w:bookmarkEnd w:id="7"/>
      <w:bookmarkEnd w:id="8"/>
    </w:p>
    <w:p>
      <w:pPr>
        <w:pStyle w:val="Normal"/>
        <w:rPr>
          <w:szCs w:val="26"/>
        </w:rPr>
      </w:pPr>
      <w:bookmarkStart w:id="9" w:name="_Toc395187770"/>
      <w:r>
        <w:rPr>
          <w:b/>
          <w:szCs w:val="26"/>
        </w:rPr>
        <w:t>Зона действия системы теплоснабжения</w:t>
      </w:r>
      <w:r>
        <w:rPr>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bookmarkEnd w:id="9"/>
      <w:r>
        <w:rPr>
          <w:szCs w:val="26"/>
        </w:rPr>
        <w:t>.</w:t>
      </w:r>
    </w:p>
    <w:p>
      <w:pPr>
        <w:pStyle w:val="Normal"/>
        <w:rPr>
          <w:szCs w:val="26"/>
        </w:rPr>
      </w:pPr>
      <w:bookmarkStart w:id="10" w:name="_Toc395187771"/>
      <w:r>
        <w:rPr>
          <w:b/>
          <w:szCs w:val="26"/>
        </w:rPr>
        <w:t>Зона действия источника тепловой энергии</w:t>
      </w:r>
      <w:r>
        <w:rPr>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bookmarkEnd w:id="10"/>
      <w:r>
        <w:rPr>
          <w:szCs w:val="26"/>
        </w:rPr>
        <w:t>.</w:t>
      </w:r>
    </w:p>
    <w:p>
      <w:pPr>
        <w:pStyle w:val="Normal"/>
        <w:rPr>
          <w:szCs w:val="26"/>
        </w:rPr>
      </w:pPr>
      <w:bookmarkStart w:id="11" w:name="_Toc395187772"/>
      <w:r>
        <w:rPr>
          <w:b/>
          <w:szCs w:val="26"/>
        </w:rPr>
        <w:t>Установленная мощность источника тепловой энергии</w:t>
      </w:r>
      <w:r>
        <w:rPr>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bookmarkEnd w:id="11"/>
      <w:r>
        <w:rPr>
          <w:szCs w:val="26"/>
        </w:rPr>
        <w:t>.</w:t>
      </w:r>
    </w:p>
    <w:p>
      <w:pPr>
        <w:pStyle w:val="Normal"/>
        <w:rPr>
          <w:szCs w:val="26"/>
        </w:rPr>
      </w:pPr>
      <w:bookmarkStart w:id="12" w:name="_Toc395187773"/>
      <w:r>
        <w:rPr>
          <w:b/>
          <w:szCs w:val="26"/>
        </w:rPr>
        <w:t>Располагаемая мощность источника тепловой энергии</w:t>
      </w:r>
      <w:r>
        <w:rPr>
          <w:szCs w:val="26"/>
        </w:rPr>
        <w:t xml:space="preserve">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bookmarkEnd w:id="12"/>
      <w:r>
        <w:rPr>
          <w:szCs w:val="26"/>
        </w:rPr>
        <w:t>.</w:t>
      </w:r>
    </w:p>
    <w:p>
      <w:pPr>
        <w:pStyle w:val="Normal"/>
        <w:rPr>
          <w:szCs w:val="26"/>
        </w:rPr>
      </w:pPr>
      <w:bookmarkStart w:id="13" w:name="_Toc395187774"/>
      <w:r>
        <w:rPr>
          <w:b/>
          <w:szCs w:val="26"/>
        </w:rPr>
        <w:t>Мощность источника тепловой энергии нетто</w:t>
      </w:r>
      <w:r>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13"/>
      <w:r>
        <w:rPr>
          <w:szCs w:val="26"/>
        </w:rPr>
        <w:t>.</w:t>
      </w:r>
    </w:p>
    <w:p>
      <w:pPr>
        <w:pStyle w:val="Normal"/>
        <w:rPr>
          <w:szCs w:val="26"/>
        </w:rPr>
      </w:pPr>
      <w:bookmarkStart w:id="14" w:name="_Toc395187775"/>
      <w:r>
        <w:rPr>
          <w:b/>
          <w:szCs w:val="26"/>
        </w:rPr>
        <w:t>Теплосетевые объекты</w:t>
      </w:r>
      <w:r>
        <w:rPr>
          <w:szCs w:val="26"/>
        </w:rPr>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bookmarkEnd w:id="14"/>
      <w:r>
        <w:rPr>
          <w:szCs w:val="26"/>
        </w:rPr>
        <w:t>.</w:t>
      </w:r>
    </w:p>
    <w:p>
      <w:pPr>
        <w:pStyle w:val="Normal"/>
        <w:rPr>
          <w:szCs w:val="26"/>
        </w:rPr>
      </w:pPr>
      <w:bookmarkStart w:id="15" w:name="_Toc395187776"/>
      <w:r>
        <w:rPr>
          <w:b/>
          <w:szCs w:val="26"/>
        </w:rPr>
        <w:t>Элемент территориального деления</w:t>
      </w:r>
      <w:r>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5"/>
      <w:r>
        <w:rPr>
          <w:szCs w:val="26"/>
        </w:rPr>
        <w:t>.</w:t>
      </w:r>
    </w:p>
    <w:p>
      <w:pPr>
        <w:pStyle w:val="Normal"/>
        <w:rPr>
          <w:szCs w:val="26"/>
        </w:rPr>
      </w:pPr>
      <w:bookmarkStart w:id="16" w:name="_Toc395187777"/>
      <w:r>
        <w:rPr>
          <w:b/>
          <w:szCs w:val="26"/>
        </w:rPr>
        <w:t>Расчетный элемент территориального деления</w:t>
      </w:r>
      <w:r>
        <w:rPr>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bookmarkEnd w:id="16"/>
    </w:p>
    <w:p>
      <w:pPr>
        <w:pStyle w:val="Normal"/>
        <w:rPr>
          <w:szCs w:val="26"/>
        </w:rPr>
      </w:pPr>
      <w:r>
        <w:rPr>
          <w:b/>
          <w:szCs w:val="26"/>
        </w:rPr>
        <w:t xml:space="preserve">Возобновляемые источники энергии - </w:t>
      </w:r>
      <w:r>
        <w:rPr>
          <w:szCs w:val="26"/>
        </w:rPr>
        <w:t>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pPr>
        <w:pStyle w:val="Normal"/>
        <w:rPr>
          <w:b/>
          <w:b/>
          <w:bCs/>
          <w:szCs w:val="26"/>
        </w:rPr>
      </w:pPr>
      <w:r>
        <w:rPr>
          <w:b/>
          <w:bCs/>
          <w:szCs w:val="26"/>
        </w:rPr>
      </w:r>
    </w:p>
    <w:p>
      <w:pPr>
        <w:pStyle w:val="Normal"/>
        <w:rPr>
          <w:b/>
          <w:b/>
          <w:bCs/>
          <w:szCs w:val="26"/>
        </w:rPr>
      </w:pPr>
      <w:r>
        <w:rPr>
          <w:b/>
          <w:bCs/>
          <w:szCs w:val="26"/>
        </w:rPr>
      </w:r>
    </w:p>
    <w:p>
      <w:pPr>
        <w:pStyle w:val="Normal"/>
        <w:rPr>
          <w:b/>
          <w:b/>
          <w:bCs/>
          <w:szCs w:val="26"/>
        </w:rPr>
      </w:pPr>
      <w:r>
        <w:rPr>
          <w:b/>
          <w:bCs/>
          <w:szCs w:val="26"/>
        </w:rPr>
      </w:r>
    </w:p>
    <w:p>
      <w:pPr>
        <w:pStyle w:val="Normal"/>
        <w:rPr>
          <w:b/>
          <w:b/>
          <w:bCs/>
          <w:szCs w:val="26"/>
        </w:rPr>
      </w:pPr>
      <w:r>
        <w:rPr>
          <w:b/>
          <w:bCs/>
          <w:szCs w:val="26"/>
        </w:rPr>
      </w:r>
    </w:p>
    <w:p>
      <w:pPr>
        <w:pStyle w:val="Normal"/>
        <w:rPr>
          <w:b/>
          <w:b/>
          <w:bCs/>
          <w:szCs w:val="26"/>
        </w:rPr>
      </w:pPr>
      <w:bookmarkStart w:id="17" w:name="_Toc419202569"/>
      <w:bookmarkStart w:id="18" w:name="_Toc395187778"/>
      <w:r>
        <w:rPr>
          <w:b/>
          <w:bCs/>
          <w:szCs w:val="26"/>
        </w:rPr>
        <w:t>Введение</w:t>
      </w:r>
      <w:bookmarkEnd w:id="17"/>
      <w:bookmarkEnd w:id="18"/>
    </w:p>
    <w:p>
      <w:pPr>
        <w:pStyle w:val="Normal"/>
        <w:rPr>
          <w:szCs w:val="26"/>
        </w:rPr>
      </w:pPr>
      <w:r>
        <w:rPr>
          <w:b/>
          <w:szCs w:val="26"/>
        </w:rPr>
        <w:t>Схема теплоснабжения</w:t>
      </w:r>
      <w:r>
        <w:rPr>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pPr>
        <w:pStyle w:val="Normal"/>
        <w:rPr>
          <w:szCs w:val="26"/>
        </w:rPr>
      </w:pPr>
      <w:r>
        <w:rPr>
          <w:szCs w:val="26"/>
        </w:rPr>
        <w:t>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определѐнной генеральным планом.</w:t>
      </w:r>
    </w:p>
    <w:p>
      <w:pPr>
        <w:pStyle w:val="Normal"/>
        <w:rPr>
          <w:szCs w:val="26"/>
        </w:rPr>
      </w:pPr>
      <w:r>
        <w:rPr>
          <w:szCs w:val="26"/>
        </w:rPr>
        <w:t>Схемы разрабатываются на основе анализа фактических тепловых нагрузок потребителей с учѐтом перспективного развития на 10 лет, структуры топливного баланса в рассматриваемом районе, оценки состояния существующих источников тепла и тепловых сетей и возможности их дальнейшего использования, рассмотрения вопросов надѐжности, экономичности.</w:t>
      </w:r>
    </w:p>
    <w:p>
      <w:pPr>
        <w:pStyle w:val="Normal"/>
        <w:rPr>
          <w:szCs w:val="26"/>
        </w:rPr>
      </w:pPr>
      <w:r>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теплоснабжения в адрес теплоснабжающих организаций, действующих на территории поселения. Описание также формируется с использованием материалов завершенных энергетических обследований, выполненных не позднее чем за 5 лет до начала разработки схемы теплоснабжения, и сопровождается графическим материалом (электронные карты-схемы тепловых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pPr>
        <w:pStyle w:val="Normal"/>
        <w:rPr>
          <w:szCs w:val="26"/>
        </w:rPr>
      </w:pPr>
      <w:r>
        <w:rPr>
          <w:szCs w:val="26"/>
        </w:rPr>
        <w:t>Обоснование решений (рекомендаций) при разработке схемы теплоснабжения осуществляется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эффективности по критерию минимума суммарных дисконтированных затрат. Даѐтся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возрастающих тепловых нагрузок на расчѐтный срок.</w:t>
      </w:r>
    </w:p>
    <w:p>
      <w:pPr>
        <w:pStyle w:val="Normal"/>
        <w:rPr>
          <w:szCs w:val="26"/>
        </w:rPr>
      </w:pPr>
      <w:r>
        <w:rPr>
          <w:szCs w:val="26"/>
        </w:rPr>
        <w:t>Правовой базой для разработки и реализации схемы теплоснабжения р.п. Курагино 2032 года является:</w:t>
      </w:r>
    </w:p>
    <w:p>
      <w:pPr>
        <w:pStyle w:val="Normal"/>
        <w:rPr>
          <w:szCs w:val="26"/>
        </w:rPr>
      </w:pPr>
      <w:r>
        <w:rPr>
          <w:szCs w:val="26"/>
        </w:rPr>
        <w:t>- Федеральный закон от 27.07.2010 г. № 190-ФЗ «О теплоснабжении»;</w:t>
      </w:r>
    </w:p>
    <w:p>
      <w:pPr>
        <w:pStyle w:val="Normal"/>
        <w:rPr>
          <w:szCs w:val="26"/>
        </w:rPr>
      </w:pPr>
      <w:r>
        <w:rPr>
          <w:szCs w:val="26"/>
        </w:rPr>
        <w:t>-Постановлением Правительства РФ от 2202.2012 г. №154 «О требованиях к схемам теплоснабжения, порядку их разработки и утверждения»;</w:t>
      </w:r>
    </w:p>
    <w:p>
      <w:pPr>
        <w:pStyle w:val="Normal"/>
        <w:rPr>
          <w:szCs w:val="26"/>
        </w:rPr>
      </w:pPr>
      <w:r>
        <w:rPr>
          <w:szCs w:val="26"/>
        </w:rPr>
        <w:t>- Совместный приказ Минэнерго России и Минрегиона России от 20.12.2012 г. №565/667  «Об утверждении методических рекомендаций по разработке схем теплоснабжения.</w:t>
      </w:r>
    </w:p>
    <w:p>
      <w:pPr>
        <w:pStyle w:val="Normal"/>
        <w:rPr>
          <w:szCs w:val="26"/>
        </w:rPr>
      </w:pPr>
      <w:r>
        <w:rPr>
          <w:szCs w:val="26"/>
        </w:rPr>
        <w:t>Технической базой разработки являются:</w:t>
      </w:r>
    </w:p>
    <w:p>
      <w:pPr>
        <w:pStyle w:val="Normal"/>
        <w:rPr>
          <w:szCs w:val="26"/>
        </w:rPr>
      </w:pPr>
      <w:r>
        <w:rPr>
          <w:szCs w:val="26"/>
        </w:rPr>
        <w:t>1. Утвержденный генеральный план населенного пункта.</w:t>
      </w:r>
    </w:p>
    <w:p>
      <w:pPr>
        <w:pStyle w:val="Normal"/>
        <w:rPr>
          <w:szCs w:val="26"/>
        </w:rPr>
      </w:pPr>
      <w:r>
        <w:rPr>
          <w:szCs w:val="26"/>
        </w:rPr>
        <w:t>2.  Утвержденные тарифы за последние 3 года. Структура тарифов на момент разработки схемы.</w:t>
      </w:r>
    </w:p>
    <w:p>
      <w:pPr>
        <w:pStyle w:val="Normal"/>
        <w:rPr>
          <w:szCs w:val="26"/>
        </w:rPr>
      </w:pPr>
      <w:r>
        <w:rPr>
          <w:szCs w:val="26"/>
        </w:rPr>
        <w:t>3. Утвержденные нормативы потребления тепловой энергии для населения на отопление и горячее водоснабжение (установленные органами исполнительной власти субъекта РФ).</w:t>
      </w:r>
    </w:p>
    <w:p>
      <w:pPr>
        <w:pStyle w:val="Normal"/>
        <w:rPr>
          <w:szCs w:val="26"/>
        </w:rPr>
      </w:pPr>
      <w:r>
        <w:rPr>
          <w:szCs w:val="26"/>
        </w:rPr>
        <w:t>4. Перечень бесхозяйных сетей.</w:t>
      </w:r>
    </w:p>
    <w:p>
      <w:pPr>
        <w:pStyle w:val="Normal"/>
        <w:rPr>
          <w:szCs w:val="26"/>
        </w:rPr>
      </w:pPr>
      <w:r>
        <w:rPr>
          <w:szCs w:val="26"/>
        </w:rPr>
        <w:t>5. Материалы энергетических обследований  (за последние 5 лет).</w:t>
      </w:r>
    </w:p>
    <w:p>
      <w:pPr>
        <w:pStyle w:val="Normal"/>
        <w:rPr>
          <w:szCs w:val="26"/>
        </w:rPr>
      </w:pPr>
      <w:r>
        <w:rPr>
          <w:szCs w:val="26"/>
        </w:rPr>
        <w:t xml:space="preserve">6. Инвестиционные программы, программы комплексного развития систем инженерной инфраструктуры (действующие). </w:t>
      </w:r>
    </w:p>
    <w:p>
      <w:pPr>
        <w:pStyle w:val="Normal"/>
        <w:rPr>
          <w:szCs w:val="26"/>
        </w:rPr>
      </w:pPr>
      <w:r>
        <w:rPr>
          <w:szCs w:val="26"/>
        </w:rPr>
        <w:t>7. Технические паспорта тепловых сетей, источников тепловой энергии, центральных тепловых пунктов, насосных станций, устройств защиты от повышения давления и самопроизвольного опорожнения тепловых сетей.</w:t>
      </w:r>
    </w:p>
    <w:p>
      <w:pPr>
        <w:pStyle w:val="Normal"/>
        <w:rPr>
          <w:szCs w:val="26"/>
        </w:rPr>
      </w:pPr>
      <w:r>
        <w:rPr>
          <w:szCs w:val="26"/>
        </w:rPr>
        <w:t xml:space="preserve">8. Принципиальные тепловые схемы котельных, ЦТП, насосных станций. </w:t>
      </w:r>
    </w:p>
    <w:p>
      <w:pPr>
        <w:pStyle w:val="Normal"/>
        <w:rPr>
          <w:szCs w:val="26"/>
        </w:rPr>
      </w:pPr>
      <w:r>
        <w:rPr>
          <w:szCs w:val="26"/>
        </w:rPr>
        <w:t>9. Данные отчетов теплоснабжающих и теплосетевых организаций по фактическому потреблению, производству, передаче энергетических ресурсов за последние 3 года.</w:t>
      </w:r>
    </w:p>
    <w:p>
      <w:pPr>
        <w:pStyle w:val="Normal"/>
        <w:rPr>
          <w:szCs w:val="26"/>
        </w:rPr>
      </w:pPr>
      <w:r>
        <w:rPr>
          <w:szCs w:val="26"/>
        </w:rPr>
        <w:t>10. Утвержденные графики регулирования отпуска тепла на источниках теплоснабжения.</w:t>
      </w:r>
    </w:p>
    <w:p>
      <w:pPr>
        <w:pStyle w:val="Normal"/>
        <w:rPr>
          <w:szCs w:val="26"/>
        </w:rPr>
      </w:pPr>
      <w:r>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pPr>
        <w:pStyle w:val="Normal"/>
        <w:rPr>
          <w:szCs w:val="26"/>
        </w:rPr>
      </w:pPr>
      <w:r>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pPr>
        <w:pStyle w:val="Normal"/>
        <w:rPr>
          <w:szCs w:val="26"/>
        </w:rPr>
      </w:pPr>
      <w:r>
        <w:rPr>
          <w:szCs w:val="26"/>
        </w:rPr>
        <w:t>Схема теплоснабжения подлежит ежегодной актуализации.</w:t>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Normal"/>
        <w:rPr>
          <w:szCs w:val="26"/>
        </w:rPr>
      </w:pPr>
      <w:r>
        <w:rPr>
          <w:szCs w:val="26"/>
        </w:rPr>
      </w:r>
    </w:p>
    <w:p>
      <w:pPr>
        <w:pStyle w:val="1"/>
        <w:keepLines w:val="false"/>
        <w:spacing w:before="0" w:after="0"/>
        <w:rPr>
          <w:rFonts w:eastAsia="Times New Roman" w:cs="Times New Roman"/>
          <w:color w:val="000000"/>
          <w:szCs w:val="26"/>
        </w:rPr>
      </w:pPr>
      <w:bookmarkStart w:id="19" w:name="_Toc467665663"/>
      <w:r>
        <w:rPr>
          <w:szCs w:val="26"/>
        </w:rPr>
        <w:t xml:space="preserve">Раздел 1. </w:t>
      </w:r>
      <w:r>
        <w:rPr>
          <w:rFonts w:eastAsia="Times New Roman" w:cs="Times New Roman"/>
          <w:color w:val="000000"/>
          <w:szCs w:val="26"/>
        </w:rPr>
        <w:t>Показатели перспективного спроса на тепловую энергию (мощность) и теплоноситель в установленных границах территории населенного пункта</w:t>
      </w:r>
      <w:bookmarkEnd w:id="19"/>
    </w:p>
    <w:p>
      <w:pPr>
        <w:pStyle w:val="Normal"/>
        <w:rPr>
          <w:szCs w:val="26"/>
        </w:rPr>
      </w:pPr>
      <w:r>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моменту начала разработки схемы теплоснабжения, и предполагаемых к строительству в установленных границах территории поселения, городского округа, в целях определения потребности указанных объектов в тепловой энергии (мощности) и теплоносителя для открытых систем теплоснабжения, на цели отопления, вентиляции, горячего водоснабжения и технологические нужды.</w:t>
      </w:r>
    </w:p>
    <w:p>
      <w:pPr>
        <w:pStyle w:val="Normal"/>
        <w:rPr>
          <w:szCs w:val="26"/>
        </w:rPr>
      </w:pPr>
      <w:r>
        <w:rPr>
          <w:szCs w:val="26"/>
        </w:rPr>
        <w:t>Все виды теплопотребления учитываются и прогнозируются для двух основных видов теплоносителя (горячая вода и пар).</w:t>
      </w:r>
    </w:p>
    <w:p>
      <w:pPr>
        <w:pStyle w:val="Normal"/>
        <w:rPr>
          <w:szCs w:val="26"/>
        </w:rPr>
      </w:pPr>
      <w:r>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использования территорий и земельных участков, контуры зданий, сооружений, объектов незавершенного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генеральномплане поселения, городского округа (далее - генеральный план), с детализацией по проектам планировок и межевания территории, утвержденных в проектах реализации генерального плана.</w:t>
      </w:r>
    </w:p>
    <w:p>
      <w:pPr>
        <w:pStyle w:val="Normal"/>
        <w:rPr>
          <w:rFonts w:eastAsia="Times New Roman" w:cs="Times New Roman"/>
          <w:szCs w:val="26"/>
          <w:lang w:eastAsia="ru-RU"/>
        </w:rPr>
      </w:pPr>
      <w:r>
        <w:rPr>
          <w:rFonts w:eastAsia="Times New Roman" w:cs="Times New Roman"/>
          <w:szCs w:val="26"/>
          <w:lang w:eastAsia="ru-RU"/>
        </w:rPr>
        <w:t>Также для разработки схемы теплоснабжения использовалась следующая информация:</w:t>
      </w:r>
    </w:p>
    <w:p>
      <w:pPr>
        <w:pStyle w:val="Normal"/>
        <w:ind w:left="709" w:hanging="0"/>
        <w:rPr>
          <w:rFonts w:eastAsia="Times New Roman" w:cs="Times New Roman"/>
          <w:szCs w:val="26"/>
          <w:lang w:eastAsia="ru-RU"/>
        </w:rPr>
      </w:pPr>
      <w:r>
        <w:rPr>
          <w:rFonts w:eastAsia="Times New Roman" w:cs="Times New Roman"/>
          <w:szCs w:val="26"/>
          <w:lang w:eastAsia="ru-RU"/>
        </w:rPr>
        <w:t>- пояснительная записка к утвержденному генеральному плану;</w:t>
      </w:r>
    </w:p>
    <w:p>
      <w:pPr>
        <w:pStyle w:val="Normal"/>
        <w:ind w:left="709" w:hanging="0"/>
        <w:rPr>
          <w:rFonts w:eastAsia="Times New Roman" w:cs="Times New Roman"/>
          <w:szCs w:val="26"/>
          <w:lang w:eastAsia="ru-RU"/>
        </w:rPr>
      </w:pPr>
      <w:r>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pPr>
        <w:pStyle w:val="Normal"/>
        <w:ind w:left="709" w:hanging="0"/>
        <w:rPr>
          <w:rFonts w:eastAsia="Times New Roman" w:cs="Times New Roman"/>
          <w:szCs w:val="26"/>
          <w:lang w:eastAsia="ru-RU"/>
        </w:rPr>
      </w:pPr>
      <w:r>
        <w:rPr>
          <w:rFonts w:eastAsia="Times New Roman" w:cs="Times New Roman"/>
          <w:szCs w:val="26"/>
          <w:lang w:eastAsia="ru-RU"/>
        </w:rPr>
        <w:t>- планы (карты) развития территории поселения, городского округа по очередям строительства;</w:t>
      </w:r>
    </w:p>
    <w:p>
      <w:pPr>
        <w:pStyle w:val="Normal"/>
        <w:ind w:left="709" w:hanging="0"/>
        <w:rPr>
          <w:rFonts w:eastAsia="Times New Roman" w:cs="Times New Roman"/>
          <w:szCs w:val="26"/>
          <w:lang w:eastAsia="ru-RU"/>
        </w:rPr>
      </w:pPr>
      <w:r>
        <w:rPr>
          <w:rFonts w:eastAsia="Times New Roman" w:cs="Times New Roman"/>
          <w:szCs w:val="26"/>
          <w:lang w:eastAsia="ru-RU"/>
        </w:rPr>
        <w:t>- базы данных теплоснабжающих организаций, действующих на территории поселения, городского округа, об объектах, присоединенных к коллекторам и тепловым сетям,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разделением на тепловую нагрузку отопления, вентиляции, горячего водоснабжения и технологии.</w:t>
      </w:r>
    </w:p>
    <w:p>
      <w:pPr>
        <w:pStyle w:val="2"/>
        <w:rPr>
          <w:b w:val="false"/>
          <w:b w:val="false"/>
        </w:rPr>
      </w:pPr>
      <w:bookmarkStart w:id="20" w:name="_Toc467665664"/>
      <w:bookmarkStart w:id="21" w:name="_Toc419202571"/>
      <w:bookmarkStart w:id="22" w:name="_Toc395187780"/>
      <w:r>
        <w:rPr/>
        <w:t>1.1. Площадь строительных фондов и приросты площади строительных фондов по расчетным элементам территориального деления</w:t>
      </w:r>
      <w:bookmarkEnd w:id="20"/>
      <w:bookmarkEnd w:id="21"/>
      <w:bookmarkEnd w:id="22"/>
    </w:p>
    <w:p>
      <w:pPr>
        <w:sectPr>
          <w:footerReference w:type="default" r:id="rId2"/>
          <w:type w:val="nextPage"/>
          <w:pgSz w:w="11906" w:h="16838"/>
          <w:pgMar w:left="1134" w:right="567" w:gutter="0" w:header="0" w:top="851" w:footer="709"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itlePg/>
          <w:textDirection w:val="lrTb"/>
          <w:docGrid w:type="default" w:linePitch="360" w:charSpace="0"/>
        </w:sectPr>
        <w:pStyle w:val="Caption"/>
        <w:spacing w:lineRule="auto" w:line="276" w:before="0" w:after="0"/>
        <w:rPr>
          <w:b w:val="false"/>
          <w:b w:val="false"/>
          <w:color w:val="000000" w:themeColor="text1"/>
          <w:sz w:val="26"/>
          <w:szCs w:val="26"/>
        </w:rPr>
      </w:pPr>
      <w:r>
        <w:rPr>
          <w:b w:val="false"/>
          <w:color w:val="000000" w:themeColor="text1"/>
          <w:sz w:val="26"/>
          <w:szCs w:val="26"/>
          <w:lang w:bidi="ru-RU"/>
        </w:rPr>
        <w:t>Площадь строительных фондов и приросты площади строительных фондов, согласно генерального плана поселка и информации администрации Курагинского района,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softHyphen/>
        <w:t>летние, внесены в таблицу 1.1.1.</w:t>
      </w:r>
    </w:p>
    <w:p>
      <w:pPr>
        <w:pStyle w:val="Style37"/>
        <w:shd w:val="clear" w:color="auto" w:fill="auto"/>
        <w:spacing w:lineRule="auto" w:line="276"/>
        <w:ind w:firstLine="709"/>
        <w:rPr>
          <w:lang w:eastAsia="ru-RU"/>
        </w:rPr>
      </w:pPr>
      <w:r>
        <w:rPr/>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2135"/>
        <w:gridCol w:w="4797"/>
        <w:gridCol w:w="1489"/>
        <w:gridCol w:w="1302"/>
        <w:gridCol w:w="1232"/>
        <w:gridCol w:w="1268"/>
        <w:gridCol w:w="1453"/>
        <w:gridCol w:w="1458"/>
      </w:tblGrid>
      <w:tr>
        <w:trPr>
          <w:tblHeader w:val="true"/>
          <w:trHeight w:val="466"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Номер жилого образования по генплану</w:t>
            </w:r>
          </w:p>
        </w:tc>
        <w:tc>
          <w:tcPr>
            <w:tcW w:w="479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Объекты</w:t>
            </w:r>
          </w:p>
        </w:tc>
        <w:tc>
          <w:tcPr>
            <w:tcW w:w="8202"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8"/>
              </w:rPr>
              <w:t>Строительные площади, тыс. м</w:t>
            </w:r>
            <w:r>
              <w:rPr>
                <w:rStyle w:val="24"/>
                <w:rFonts w:eastAsia="Calibri" w:eastAsiaTheme="minorHAnsi"/>
                <w:color w:val="auto"/>
                <w:sz w:val="28"/>
                <w:vertAlign w:val="superscript"/>
              </w:rPr>
              <w:t>2</w:t>
            </w:r>
          </w:p>
        </w:tc>
      </w:tr>
      <w:tr>
        <w:trPr>
          <w:tblHeader w:val="true"/>
          <w:trHeight w:val="840"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Style w:val="24"/>
                <w:rFonts w:eastAsia="Calibri" w:eastAsiaTheme="minorHAnsi"/>
                <w:color w:val="auto"/>
                <w:sz w:val="24"/>
              </w:rPr>
            </w:pPr>
            <w:r>
              <w:rPr>
                <w:rStyle w:val="24"/>
                <w:rFonts w:eastAsia="Calibri" w:eastAsiaTheme="minorHAnsi"/>
                <w:color w:val="auto"/>
                <w:sz w:val="24"/>
              </w:rPr>
              <w:t>2021т</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(базовый)</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2022т</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2023т</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2024т</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2025т</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2032т</w:t>
            </w:r>
          </w:p>
        </w:tc>
      </w:tr>
      <w:tr>
        <w:trPr>
          <w:tblHeader w:val="true"/>
          <w:trHeight w:val="456" w:hRule="exact"/>
        </w:trPr>
        <w:tc>
          <w:tcPr>
            <w:tcW w:w="2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4</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5</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6</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7</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8</w:t>
            </w:r>
          </w:p>
        </w:tc>
      </w:tr>
      <w:tr>
        <w:trPr>
          <w:trHeight w:val="614"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w:t>
            </w:r>
          </w:p>
        </w:tc>
      </w:tr>
      <w:tr>
        <w:trPr>
          <w:trHeight w:val="974"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653"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6,4</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6,4</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6,4</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6,4</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8,9</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8,9</w:t>
            </w:r>
          </w:p>
        </w:tc>
      </w:tr>
      <w:tr>
        <w:trPr>
          <w:trHeight w:val="648"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614"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12,4</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12,4</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12,4</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12,4</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12,4</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12,4</w:t>
            </w:r>
          </w:p>
        </w:tc>
      </w:tr>
      <w:tr>
        <w:trPr>
          <w:trHeight w:val="979"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653"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2,9</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2,9</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2,9</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2,9</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2,9</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2,9</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III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IV</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23,4</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23,4</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23,4</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23,4</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23,4</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23,4</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65,8</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65,8</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65,8</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65,8</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65,8</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65,8</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V</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VI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21,8</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21,8</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21,8</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21,8</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21,8</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21,8</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68,9</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68,9</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68,9</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68,9</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68,9</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68,9</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VII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10,3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10,3</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10,3</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10,3</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10,3</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10,3</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VIII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1,4</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1,4</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1,4</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1,4</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1,4</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1,4</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2,4</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IX</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23,6</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23,6</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23,6</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23,6+1,6</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25,2+3,1</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28,3+1,6</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25,7</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25,7</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25,7</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25,7</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25,7</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25,7</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X</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35,1</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35,1</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35,1</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35,1</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35,1</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35,1</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3,5</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26,1</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26,1</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26,1</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26,1</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26,1</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26,1</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XI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21,3</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21,3</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21,3</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21,3</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21,3</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0,6</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0,6</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0,6</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0,6</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0,6</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0,6</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79,9</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79,9</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79,9</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79,9</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79,9</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79,9</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XII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12,3</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12,3</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12,3</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12,3</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12,3</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2,8</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2,9</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2,9</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2,9</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2,9</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2,9</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2,9</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XIII</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6,3</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6,3</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6,3</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6,3</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6,3</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0,7</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0,7</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0,7</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0,7</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0,7</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0,7</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XIV</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1Д</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1Д</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1Д</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1Д</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1Д</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1Д</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2-3-5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16,3</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19,1</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19,1</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19,1</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19,1</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19,1</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19,1</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XV</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 дома</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40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40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40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40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40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40</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Жилые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многоквартирные дома 2-3 этаж.</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1,6</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Общественные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здания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3,9</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3,9</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3,9+1,5</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5,4</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5,4+7,8</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13,2</w:t>
            </w:r>
          </w:p>
        </w:tc>
      </w:tr>
      <w:tr>
        <w:trPr>
          <w:trHeight w:val="662" w:hRule="exact"/>
        </w:trPr>
        <w:tc>
          <w:tcPr>
            <w:tcW w:w="213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w:t>
            </w:r>
          </w:p>
        </w:tc>
      </w:tr>
      <w:tr>
        <w:trPr>
          <w:trHeight w:val="662" w:hRule="exact"/>
        </w:trPr>
        <w:tc>
          <w:tcPr>
            <w:tcW w:w="2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szCs w:val="22"/>
                <w:lang w:eastAsia="en-US" w:bidi="ar-SA"/>
              </w:rPr>
              <w:t>Пром. зоны и проч. терр.</w:t>
            </w:r>
          </w:p>
        </w:tc>
        <w:tc>
          <w:tcPr>
            <w:tcW w:w="47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Производственные</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предприятия</w:t>
            </w:r>
          </w:p>
        </w:tc>
        <w:tc>
          <w:tcPr>
            <w:tcW w:w="14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170,2</w:t>
            </w:r>
          </w:p>
        </w:tc>
        <w:tc>
          <w:tcPr>
            <w:tcW w:w="13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170,2</w:t>
            </w:r>
          </w:p>
        </w:tc>
        <w:tc>
          <w:tcPr>
            <w:tcW w:w="1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170,2</w:t>
            </w:r>
          </w:p>
        </w:tc>
        <w:tc>
          <w:tcPr>
            <w:tcW w:w="1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170,2</w:t>
            </w:r>
          </w:p>
        </w:tc>
        <w:tc>
          <w:tcPr>
            <w:tcW w:w="14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170,2</w:t>
            </w:r>
          </w:p>
        </w:tc>
        <w:tc>
          <w:tcPr>
            <w:tcW w:w="14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170,2</w:t>
            </w:r>
          </w:p>
        </w:tc>
      </w:tr>
    </w:tbl>
    <w:p>
      <w:pPr>
        <w:sectPr>
          <w:footerReference w:type="default" r:id="rId3"/>
          <w:type w:val="nextPage"/>
          <w:pgSz w:orient="landscape" w:w="16838" w:h="11906"/>
          <w:pgMar w:left="851" w:right="851" w:gutter="0" w:header="0" w:top="1134" w:footer="709" w:bottom="766"/>
          <w:pgBorders w:display="allPages" w:offsetFrom="text">
            <w:top w:val="single" w:sz="4" w:space="7" w:color="000000"/>
            <w:left w:val="single" w:sz="4" w:space="7" w:color="000000"/>
            <w:bottom w:val="single" w:sz="4" w:space="7" w:color="000000"/>
            <w:right w:val="single" w:sz="4" w:space="7" w:color="000000"/>
          </w:pgBorders>
          <w:pgNumType w:fmt="decimal"/>
          <w:formProt w:val="false"/>
          <w:titlePg/>
          <w:textDirection w:val="lrTb"/>
          <w:docGrid w:type="default" w:linePitch="360" w:charSpace="0"/>
        </w:sectPr>
      </w:pPr>
    </w:p>
    <w:p>
      <w:pPr>
        <w:pStyle w:val="2"/>
        <w:rPr>
          <w:rFonts w:cs="Times New Roman"/>
          <w:color w:val="FF0000"/>
          <w:szCs w:val="26"/>
          <w:lang w:eastAsia="ru-RU"/>
        </w:rPr>
      </w:pPr>
      <w:bookmarkStart w:id="23" w:name="_Toc467665665"/>
      <w:bookmarkStart w:id="24" w:name="_Toc419202572"/>
      <w:r>
        <w:rPr/>
        <w:t>1.2. Объемы потребления тепловой энергии (мощности), теплоносителя и приросты потребления тепловой энергии (мощности), теплоносителя</w:t>
      </w:r>
      <w:bookmarkEnd w:id="23"/>
      <w:bookmarkEnd w:id="24"/>
    </w:p>
    <w:p>
      <w:pPr>
        <w:pStyle w:val="Normal"/>
        <w:rPr>
          <w:szCs w:val="26"/>
        </w:rPr>
      </w:pPr>
      <w:r>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pPr>
        <w:pStyle w:val="Style37"/>
        <w:shd w:val="clear" w:color="auto" w:fill="auto"/>
        <w:spacing w:lineRule="auto" w:line="276"/>
        <w:ind w:firstLine="709"/>
        <w:jc w:val="left"/>
        <w:rPr>
          <w:sz w:val="26"/>
          <w:szCs w:val="26"/>
        </w:rPr>
      </w:pPr>
      <w:r>
        <w:rPr>
          <w:sz w:val="26"/>
          <w:szCs w:val="26"/>
        </w:rPr>
        <w:t>Таблица 1.2.1. Данные базового уровня потребления тепла на цели теплоснабжения.</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701"/>
        <w:gridCol w:w="2627"/>
        <w:gridCol w:w="1909"/>
        <w:gridCol w:w="1622"/>
        <w:gridCol w:w="1588"/>
        <w:gridCol w:w="1757"/>
      </w:tblGrid>
      <w:tr>
        <w:trPr>
          <w:trHeight w:val="667" w:hRule="exact"/>
        </w:trPr>
        <w:tc>
          <w:tcPr>
            <w:tcW w:w="70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w:t>
            </w:r>
          </w:p>
        </w:tc>
        <w:tc>
          <w:tcPr>
            <w:tcW w:w="26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Жилое образование пгт. Курагино</w:t>
            </w:r>
          </w:p>
        </w:tc>
        <w:tc>
          <w:tcPr>
            <w:tcW w:w="6876"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Потребления тепловой энергии при расчетных температурах наружного воздуха Гкал/ч.</w:t>
            </w:r>
          </w:p>
        </w:tc>
      </w:tr>
      <w:tr>
        <w:trPr>
          <w:trHeight w:val="653" w:hRule="exact"/>
        </w:trPr>
        <w:tc>
          <w:tcPr>
            <w:tcW w:w="70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26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Всего</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Отопление</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ГВС за сутки</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Вентиляция</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XIV</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2,3805</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0,1091</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XV</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1,0953</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1,0378</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0,0575</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IV</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1,1528</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1,1238</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0,0289</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6"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1,0299</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5</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IX</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3,2709</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3,1198</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0,1511</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1,1661</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1,1240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0,0421</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1,7615</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1,7545</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0,0070</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8</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XII</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0,8626</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0,0272</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9</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XIII</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0,1467</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0,0087</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36"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 Ойха</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0,3244</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0,3042</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0,0202</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r>
        <w:trPr>
          <w:trHeight w:val="341" w:hRule="exact"/>
        </w:trPr>
        <w:tc>
          <w:tcPr>
            <w:tcW w:w="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w:t>
            </w:r>
          </w:p>
        </w:tc>
        <w:tc>
          <w:tcPr>
            <w:tcW w:w="26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Очистные сооруж.</w:t>
            </w:r>
          </w:p>
        </w:tc>
        <w:tc>
          <w:tcPr>
            <w:tcW w:w="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0,2019</w:t>
            </w:r>
          </w:p>
        </w:tc>
        <w:tc>
          <w:tcPr>
            <w:tcW w:w="16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0,2019</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r>
    </w:tbl>
    <w:p>
      <w:pPr>
        <w:pStyle w:val="Normal"/>
        <w:rPr>
          <w:rFonts w:cs="Times New Roman"/>
          <w:color w:val="FF0000"/>
          <w:szCs w:val="26"/>
          <w:lang w:eastAsia="ru-RU"/>
        </w:rPr>
      </w:pPr>
      <w:r>
        <w:rPr/>
        <w:t>Объемы потребления тепловой энергии (мощности) и приросты потребления тепловой энергии (мощности) от централизованного источника для целей отопления и вентиляции в каждом расчетном элементе территориального деления на каждом этапе внесены в таблицу 1.2.2.</w:t>
      </w:r>
    </w:p>
    <w:p>
      <w:pPr>
        <w:sectPr>
          <w:footerReference w:type="default" r:id="rId4"/>
          <w:type w:val="nextPage"/>
          <w:pgSz w:w="11906" w:h="16838"/>
          <w:pgMar w:left="1134" w:right="567" w:gutter="0" w:header="0" w:top="851" w:footer="708"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rPr>
          <w:rFonts w:cs="Times New Roman"/>
          <w:color w:val="FF0000"/>
          <w:szCs w:val="26"/>
          <w:lang w:eastAsia="ru-RU"/>
        </w:rPr>
      </w:pPr>
      <w:r>
        <w:rPr/>
        <w:t>Объемы потребления тепловой энергии (мощности), теплоносителя и приросты потребления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деления на каждом этапе внесены в таблицу 1.2.3.</w:t>
      </w:r>
    </w:p>
    <w:p>
      <w:pPr>
        <w:pStyle w:val="Style32"/>
        <w:shd w:val="clear" w:color="auto" w:fill="auto"/>
        <w:spacing w:lineRule="auto" w:line="240"/>
        <w:ind w:firstLine="709"/>
        <w:jc w:val="both"/>
        <w:rPr>
          <w:b w:val="false"/>
          <w:b w:val="false"/>
          <w:sz w:val="26"/>
          <w:szCs w:val="26"/>
        </w:rPr>
      </w:pPr>
      <w:r>
        <w:rPr>
          <w:rStyle w:val="Style20"/>
          <w:b/>
          <w:sz w:val="26"/>
          <w:szCs w:val="26"/>
        </w:rPr>
        <w:t xml:space="preserve">Таблица 1.2.2. Объемы потребления тепловой энергии и прироста потребления по этапам на тепловую мощность для </w:t>
      </w:r>
      <w:r>
        <w:rPr>
          <w:b w:val="false"/>
          <w:sz w:val="26"/>
          <w:szCs w:val="26"/>
        </w:rPr>
        <w:t>целей отопления и вентиляции, Гкал/ч</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4400"/>
        <w:gridCol w:w="1468"/>
        <w:gridCol w:w="1408"/>
        <w:gridCol w:w="1407"/>
        <w:gridCol w:w="1410"/>
        <w:gridCol w:w="1407"/>
        <w:gridCol w:w="1408"/>
        <w:gridCol w:w="2227"/>
      </w:tblGrid>
      <w:tr>
        <w:trPr>
          <w:trHeight w:val="1306"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Номер жилого образования по генплану</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Style w:val="24"/>
                <w:rFonts w:eastAsia="Calibri" w:eastAsiaTheme="minorHAnsi"/>
                <w:color w:val="auto"/>
                <w:sz w:val="24"/>
              </w:rPr>
            </w:pPr>
            <w:r>
              <w:rPr>
                <w:rStyle w:val="24"/>
                <w:rFonts w:eastAsia="Calibri" w:eastAsiaTheme="minorHAnsi"/>
                <w:color w:val="auto"/>
                <w:sz w:val="24"/>
              </w:rPr>
              <w:t>2021т</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(базовый)</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2022т</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2023т</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2024т</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2025т</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2032т</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Зона действия источника тепловой энергии</w:t>
            </w:r>
          </w:p>
        </w:tc>
      </w:tr>
      <w:tr>
        <w:trPr>
          <w:trHeight w:val="331"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0,1106</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0,1106</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Индивидуальный</w:t>
            </w:r>
          </w:p>
        </w:tc>
      </w:tr>
      <w:tr>
        <w:trPr>
          <w:trHeight w:val="653"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IV</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1,4964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1,4964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1,4964</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1,4964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1,4964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1,4964</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№2</w:t>
            </w:r>
          </w:p>
        </w:tc>
      </w:tr>
      <w:tr>
        <w:trPr>
          <w:trHeight w:val="658"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1,0145</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№2</w:t>
            </w:r>
          </w:p>
        </w:tc>
      </w:tr>
      <w:tr>
        <w:trPr>
          <w:trHeight w:val="331"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VIII</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0,1036</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Индивидуальный</w:t>
            </w:r>
          </w:p>
        </w:tc>
      </w:tr>
      <w:tr>
        <w:trPr>
          <w:trHeight w:val="653"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IX</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3,4502</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3,4502</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3,4502</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3,4502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+0,0629</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3,5131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+0,1076</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3,6207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+0,0538</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№1</w:t>
            </w:r>
          </w:p>
        </w:tc>
      </w:tr>
      <w:tr>
        <w:trPr>
          <w:trHeight w:val="653"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1,2906</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1,2906</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1,2906</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1,2906</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1,2906</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1,2906</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№1,2</w:t>
            </w:r>
          </w:p>
        </w:tc>
      </w:tr>
      <w:tr>
        <w:trPr>
          <w:trHeight w:val="653"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№1</w:t>
            </w:r>
          </w:p>
        </w:tc>
      </w:tr>
      <w:tr>
        <w:trPr>
          <w:trHeight w:val="658"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XII</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0,8354</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№1</w:t>
            </w:r>
          </w:p>
        </w:tc>
      </w:tr>
      <w:tr>
        <w:trPr>
          <w:trHeight w:val="653"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XIII</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0,1380</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 Вывод №1</w:t>
            </w:r>
          </w:p>
        </w:tc>
      </w:tr>
      <w:tr>
        <w:trPr>
          <w:trHeight w:val="610" w:hRule="exact"/>
        </w:trPr>
        <w:tc>
          <w:tcPr>
            <w:tcW w:w="44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XIV</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2,2714</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№1</w:t>
            </w:r>
          </w:p>
        </w:tc>
      </w:tr>
      <w:tr>
        <w:trPr>
          <w:trHeight w:val="653" w:hRule="exact"/>
        </w:trPr>
        <w:tc>
          <w:tcPr>
            <w:tcW w:w="440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XV</w:t>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1,0952</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1,0952</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1,0952</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1,0952</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1,0952</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1,0952</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№1,</w:t>
            </w:r>
          </w:p>
        </w:tc>
      </w:tr>
      <w:tr>
        <w:trPr>
          <w:trHeight w:val="989" w:hRule="exact"/>
        </w:trPr>
        <w:tc>
          <w:tcPr>
            <w:tcW w:w="440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0,0753</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0,0753</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0,0753</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0,0753+</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0,3400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0,4153</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№6 после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реконструкции</w:t>
            </w:r>
          </w:p>
        </w:tc>
      </w:tr>
    </w:tbl>
    <w:p>
      <w:pPr>
        <w:pStyle w:val="Style32"/>
        <w:shd w:val="clear" w:color="auto" w:fill="auto"/>
        <w:spacing w:lineRule="auto" w:line="240"/>
        <w:ind w:firstLine="709"/>
        <w:jc w:val="both"/>
        <w:rPr>
          <w:b w:val="false"/>
          <w:b w:val="false"/>
          <w:sz w:val="26"/>
          <w:szCs w:val="26"/>
        </w:rPr>
      </w:pPr>
      <w:r>
        <w:rPr>
          <w:b w:val="false"/>
          <w:sz w:val="26"/>
          <w:szCs w:val="26"/>
        </w:rPr>
        <w:t>.</w:t>
      </w:r>
    </w:p>
    <w:p>
      <w:pPr>
        <w:pStyle w:val="Style37"/>
        <w:shd w:val="clear" w:color="auto" w:fill="auto"/>
        <w:spacing w:lineRule="auto" w:line="276"/>
        <w:ind w:firstLine="709"/>
        <w:rPr>
          <w:sz w:val="26"/>
          <w:szCs w:val="26"/>
        </w:rPr>
      </w:pPr>
      <w:r>
        <w:rPr>
          <w:sz w:val="26"/>
          <w:szCs w:val="26"/>
        </w:rPr>
        <w:t>Таблица 1.2.3. Объемы потребления тепловой энергии и прироста потребления по этапам на тепловую мощность для целей горячего водоснабжения среднечасовой/максимально часовой, Гкал/ч.</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4257"/>
        <w:gridCol w:w="1611"/>
        <w:gridCol w:w="1408"/>
        <w:gridCol w:w="1407"/>
        <w:gridCol w:w="1410"/>
        <w:gridCol w:w="1407"/>
        <w:gridCol w:w="1408"/>
        <w:gridCol w:w="2227"/>
      </w:tblGrid>
      <w:tr>
        <w:trPr>
          <w:trHeight w:val="1300"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Номер</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жилого</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образования</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по генплану</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2021т</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2022т</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2023т</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2024т</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2025т</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2026-</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2032т</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Зона действия</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источника</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тепловой</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энергии</w:t>
            </w:r>
          </w:p>
        </w:tc>
      </w:tr>
      <w:tr>
        <w:trPr>
          <w:trHeight w:val="461" w:hRule="exac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5</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8</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9</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w:t>
            </w:r>
          </w:p>
        </w:tc>
      </w:tr>
      <w:tr>
        <w:trPr>
          <w:trHeight w:val="610" w:hRule="exac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0,03/0,072</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0,03/0,072</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Индивидуальный</w:t>
            </w:r>
          </w:p>
        </w:tc>
      </w:tr>
      <w:tr>
        <w:trPr>
          <w:trHeight w:val="1286"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IV</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Style w:val="24"/>
                <w:rFonts w:eastAsia="Calibri" w:eastAsiaTheme="minorHAnsi"/>
                <w:color w:val="auto"/>
                <w:sz w:val="24"/>
              </w:rPr>
            </w:pPr>
            <w:r>
              <w:rPr>
                <w:rStyle w:val="24"/>
                <w:rFonts w:eastAsia="Calibri" w:eastAsiaTheme="minorHAnsi"/>
                <w:color w:val="auto"/>
                <w:sz w:val="24"/>
              </w:rPr>
              <w:t>0,0449/</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0,1084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0,0449/</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0,1084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0,0449/</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0,1084</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0,0449/</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0,1084</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0,0449/</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0,1084</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0,0449/</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0,1084</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Вывод №2</w:t>
            </w:r>
          </w:p>
        </w:tc>
      </w:tr>
      <w:tr>
        <w:trPr>
          <w:trHeight w:val="643"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0,037</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0,037</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0,037</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0,0154/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0,037</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Вывод №2</w:t>
            </w:r>
          </w:p>
        </w:tc>
      </w:tr>
      <w:tr>
        <w:trPr>
          <w:trHeight w:val="653" w:hRule="exac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VIII</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0,039</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0,039</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0,039</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0,039</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0,039</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0,016/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0,039</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Индивидуальный</w:t>
            </w:r>
          </w:p>
        </w:tc>
      </w:tr>
      <w:tr>
        <w:trPr>
          <w:trHeight w:val="1616"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IX</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Fonts w:cs="Times New Roman"/>
                <w:sz w:val="24"/>
                <w:szCs w:val="10"/>
              </w:rPr>
              <w:t>0,2351</w:t>
            </w:r>
          </w:p>
          <w:p>
            <w:pPr>
              <w:pStyle w:val="Normal"/>
              <w:widowControl w:val="false"/>
              <w:spacing w:lineRule="auto" w:line="240"/>
              <w:ind w:hanging="0"/>
              <w:jc w:val="center"/>
              <w:rPr>
                <w:rFonts w:cs="Times New Roman"/>
                <w:sz w:val="24"/>
                <w:szCs w:val="10"/>
              </w:rPr>
            </w:pPr>
            <w:r>
              <w:rPr>
                <w:rFonts w:cs="Times New Roman"/>
                <w:sz w:val="24"/>
                <w:szCs w:val="10"/>
              </w:rPr>
              <w:t>/</w:t>
            </w:r>
          </w:p>
          <w:p>
            <w:pPr>
              <w:pStyle w:val="Normal"/>
              <w:widowControl w:val="false"/>
              <w:spacing w:lineRule="auto" w:line="240"/>
              <w:ind w:hanging="0"/>
              <w:jc w:val="center"/>
              <w:rPr>
                <w:rFonts w:cs="Times New Roman"/>
                <w:sz w:val="24"/>
                <w:szCs w:val="10"/>
              </w:rPr>
            </w:pPr>
            <w:r>
              <w:rPr>
                <w:rFonts w:cs="Times New Roman"/>
                <w:sz w:val="24"/>
                <w:szCs w:val="10"/>
              </w:rPr>
              <w:t>0,5626</w:t>
            </w:r>
          </w:p>
          <w:p>
            <w:pPr>
              <w:pStyle w:val="Normal"/>
              <w:widowControl w:val="false"/>
              <w:spacing w:lineRule="auto" w:line="240"/>
              <w:ind w:hanging="0"/>
              <w:jc w:val="center"/>
              <w:rPr>
                <w:rFonts w:cs="Times New Roman"/>
                <w:sz w:val="24"/>
                <w:szCs w:val="10"/>
              </w:rPr>
            </w:pPr>
            <w:r>
              <w:rPr>
                <w:rFonts w:cs="Times New Roman"/>
                <w:sz w:val="24"/>
                <w:szCs w:val="10"/>
              </w:rPr>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0,2351</w:t>
            </w:r>
          </w:p>
          <w:p>
            <w:pPr>
              <w:pStyle w:val="Normal"/>
              <w:widowControl w:val="false"/>
              <w:spacing w:lineRule="auto" w:line="240"/>
              <w:ind w:hanging="0"/>
              <w:jc w:val="center"/>
              <w:rPr>
                <w:rFonts w:cs="Times New Roman"/>
                <w:sz w:val="24"/>
              </w:rPr>
            </w:pPr>
            <w:r>
              <w:rPr>
                <w:rFonts w:cs="Times New Roman"/>
                <w:sz w:val="24"/>
              </w:rPr>
              <w:t>/</w:t>
            </w:r>
          </w:p>
          <w:p>
            <w:pPr>
              <w:pStyle w:val="Normal"/>
              <w:widowControl w:val="false"/>
              <w:spacing w:lineRule="auto" w:line="240"/>
              <w:ind w:hanging="0"/>
              <w:jc w:val="center"/>
              <w:rPr>
                <w:rFonts w:cs="Times New Roman"/>
                <w:sz w:val="24"/>
              </w:rPr>
            </w:pPr>
            <w:r>
              <w:rPr>
                <w:rFonts w:cs="Times New Roman"/>
                <w:sz w:val="24"/>
              </w:rPr>
              <w:t>0,5626</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Fonts w:cs="Times New Roman"/>
                <w:sz w:val="24"/>
                <w:szCs w:val="10"/>
              </w:rPr>
              <w:t>0,2351</w:t>
            </w:r>
          </w:p>
          <w:p>
            <w:pPr>
              <w:pStyle w:val="Normal"/>
              <w:widowControl w:val="false"/>
              <w:spacing w:lineRule="auto" w:line="240"/>
              <w:ind w:hanging="0"/>
              <w:jc w:val="center"/>
              <w:rPr>
                <w:rFonts w:cs="Times New Roman"/>
                <w:sz w:val="24"/>
                <w:szCs w:val="10"/>
              </w:rPr>
            </w:pPr>
            <w:r>
              <w:rPr>
                <w:rFonts w:cs="Times New Roman"/>
                <w:sz w:val="24"/>
                <w:szCs w:val="10"/>
              </w:rPr>
              <w:t>/</w:t>
            </w:r>
          </w:p>
          <w:p>
            <w:pPr>
              <w:pStyle w:val="Normal"/>
              <w:widowControl w:val="false"/>
              <w:spacing w:lineRule="auto" w:line="240"/>
              <w:ind w:hanging="0"/>
              <w:jc w:val="center"/>
              <w:rPr>
                <w:rFonts w:cs="Times New Roman"/>
                <w:sz w:val="24"/>
                <w:szCs w:val="10"/>
              </w:rPr>
            </w:pPr>
            <w:r>
              <w:rPr>
                <w:rFonts w:cs="Times New Roman"/>
                <w:sz w:val="24"/>
                <w:szCs w:val="10"/>
              </w:rPr>
              <w:t>0,5626</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0,2351</w:t>
            </w:r>
          </w:p>
          <w:p>
            <w:pPr>
              <w:pStyle w:val="Normal"/>
              <w:widowControl w:val="false"/>
              <w:spacing w:lineRule="auto" w:line="240"/>
              <w:ind w:hanging="0"/>
              <w:jc w:val="center"/>
              <w:rPr>
                <w:rFonts w:cs="Times New Roman"/>
                <w:sz w:val="24"/>
              </w:rPr>
            </w:pPr>
            <w:r>
              <w:rPr>
                <w:rFonts w:cs="Times New Roman"/>
                <w:sz w:val="24"/>
              </w:rPr>
              <w:t>/</w:t>
            </w:r>
          </w:p>
          <w:p>
            <w:pPr>
              <w:pStyle w:val="Normal"/>
              <w:widowControl w:val="false"/>
              <w:spacing w:lineRule="auto" w:line="240"/>
              <w:ind w:hanging="0"/>
              <w:jc w:val="center"/>
              <w:rPr>
                <w:rFonts w:cs="Times New Roman"/>
                <w:sz w:val="24"/>
              </w:rPr>
            </w:pPr>
            <w:r>
              <w:rPr>
                <w:rFonts w:cs="Times New Roman"/>
                <w:sz w:val="24"/>
              </w:rPr>
              <w:t>0,5626</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0,2351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+0,042/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0,5626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0,2771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+0,021/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0,6626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+0,05</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Вывод №1</w:t>
            </w:r>
          </w:p>
        </w:tc>
      </w:tr>
      <w:tr>
        <w:trPr>
          <w:trHeight w:val="960"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0,132</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0,132</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0,132</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0,132</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0,132</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0,0551/</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0,132</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Вывод №1,2</w:t>
            </w:r>
          </w:p>
        </w:tc>
      </w:tr>
      <w:tr>
        <w:trPr>
          <w:trHeight w:val="657"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0,0168</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0,0168</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0,0168</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0,0168</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0,0168</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0,0168</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Вывод №1</w:t>
            </w:r>
          </w:p>
        </w:tc>
      </w:tr>
      <w:tr>
        <w:trPr>
          <w:trHeight w:val="657"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XII</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0,0272/</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0,0653</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0,0272/</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0,0653</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0,0272/</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0,0653</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0,0272/</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0,0653</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0,0272/</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0,0653</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0,0272/</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0,0653</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Котельная №2 Вывод №1</w:t>
            </w:r>
          </w:p>
        </w:tc>
      </w:tr>
      <w:tr>
        <w:trPr>
          <w:trHeight w:val="657"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XIII</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0,0087/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0,0209</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0,0087/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0,0209</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0,0087/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0,0209</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0,0087/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0,0209</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0,0087/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0,0209</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0,0087/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0,0209</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Котельная №2 Вывод №1</w:t>
            </w:r>
          </w:p>
        </w:tc>
      </w:tr>
      <w:tr>
        <w:trPr>
          <w:trHeight w:val="657"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XIV</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0,1091/</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0,2618</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0,1091/</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0,2618</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0,1091/</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0,2618</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0,1091/</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0,2618</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0,1091/</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0,2618</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0,1091/</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0,2618</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Котельная №1</w:t>
            </w:r>
          </w:p>
        </w:tc>
      </w:tr>
      <w:tr>
        <w:trPr>
          <w:trHeight w:val="657" w:hRule="atLeast"/>
        </w:trPr>
        <w:tc>
          <w:tcPr>
            <w:tcW w:w="42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XV</w:t>
            </w:r>
          </w:p>
        </w:tc>
        <w:tc>
          <w:tcPr>
            <w:tcW w:w="16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Fonts w:cs="Times New Roman"/>
                <w:sz w:val="24"/>
                <w:szCs w:val="28"/>
                <w:lang w:eastAsia="ru-RU" w:bidi="ru-RU"/>
              </w:rPr>
              <w:t>0,0775/</w:t>
            </w:r>
          </w:p>
          <w:p>
            <w:pPr>
              <w:pStyle w:val="Normal"/>
              <w:widowControl w:val="false"/>
              <w:spacing w:lineRule="auto" w:line="240"/>
              <w:ind w:hanging="0"/>
              <w:jc w:val="center"/>
              <w:rPr>
                <w:rFonts w:cs="Times New Roman"/>
                <w:sz w:val="24"/>
                <w:szCs w:val="28"/>
                <w:lang w:eastAsia="ru-RU" w:bidi="ru-RU"/>
              </w:rPr>
            </w:pPr>
            <w:r>
              <w:rPr>
                <w:rFonts w:cs="Times New Roman"/>
                <w:sz w:val="24"/>
                <w:szCs w:val="28"/>
                <w:lang w:eastAsia="ru-RU" w:bidi="ru-RU"/>
              </w:rPr>
              <w:t>0,187</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Fonts w:cs="Times New Roman"/>
                <w:sz w:val="24"/>
                <w:szCs w:val="28"/>
                <w:lang w:eastAsia="ru-RU" w:bidi="ru-RU"/>
              </w:rPr>
              <w:t>0,0775/</w:t>
            </w:r>
          </w:p>
          <w:p>
            <w:pPr>
              <w:pStyle w:val="Normal"/>
              <w:widowControl w:val="false"/>
              <w:spacing w:lineRule="auto" w:line="240"/>
              <w:ind w:hanging="0"/>
              <w:jc w:val="center"/>
              <w:rPr>
                <w:rFonts w:cs="Times New Roman"/>
                <w:sz w:val="24"/>
                <w:szCs w:val="28"/>
                <w:lang w:eastAsia="ru-RU" w:bidi="ru-RU"/>
              </w:rPr>
            </w:pPr>
            <w:r>
              <w:rPr>
                <w:rFonts w:cs="Times New Roman"/>
                <w:sz w:val="24"/>
                <w:szCs w:val="28"/>
                <w:lang w:eastAsia="ru-RU" w:bidi="ru-RU"/>
              </w:rPr>
              <w:t>0,187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0,0775/</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0,187</w:t>
            </w:r>
          </w:p>
        </w:tc>
        <w:tc>
          <w:tcPr>
            <w:tcW w:w="1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0,0775/</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0,187</w:t>
            </w:r>
          </w:p>
        </w:tc>
        <w:tc>
          <w:tcPr>
            <w:tcW w:w="14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0,0775</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+0,028/</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0,187</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+0,067</w:t>
            </w:r>
          </w:p>
        </w:tc>
        <w:tc>
          <w:tcPr>
            <w:tcW w:w="14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0,1055/</w:t>
            </w:r>
          </w:p>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0,254</w:t>
            </w:r>
          </w:p>
        </w:tc>
        <w:tc>
          <w:tcPr>
            <w:tcW w:w="22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Котельная №1, №6</w:t>
            </w:r>
          </w:p>
        </w:tc>
      </w:tr>
    </w:tbl>
    <w:p>
      <w:pPr>
        <w:pStyle w:val="Style37"/>
        <w:shd w:val="clear" w:color="auto" w:fill="auto"/>
        <w:spacing w:lineRule="auto" w:line="276"/>
        <w:ind w:firstLine="709"/>
        <w:rPr>
          <w:sz w:val="26"/>
          <w:szCs w:val="26"/>
        </w:rPr>
      </w:pPr>
      <w:r>
        <w:rPr>
          <w:sz w:val="26"/>
          <w:szCs w:val="26"/>
        </w:rPr>
        <w:t>*В таблицах 1.2.2, 1.2.3. прирост тепловых нагрузок указан с учетом выданных технических условий.</w:t>
      </w:r>
    </w:p>
    <w:p>
      <w:pPr>
        <w:pStyle w:val="Style37"/>
        <w:shd w:val="clear" w:color="auto" w:fill="auto"/>
        <w:spacing w:lineRule="auto" w:line="276"/>
        <w:ind w:firstLine="709"/>
        <w:rPr>
          <w:sz w:val="26"/>
          <w:szCs w:val="26"/>
        </w:rPr>
      </w:pPr>
      <w:r>
        <w:rPr>
          <w:sz w:val="26"/>
          <w:szCs w:val="26"/>
        </w:rPr>
      </w:r>
    </w:p>
    <w:p>
      <w:pPr>
        <w:sectPr>
          <w:footerReference w:type="default" r:id="rId5"/>
          <w:footerReference w:type="first" r:id="rId6"/>
          <w:type w:val="nextPage"/>
          <w:pgSz w:orient="landscape" w:w="16838" w:h="11906"/>
          <w:pgMar w:left="1134" w:right="567" w:gutter="0" w:header="0" w:top="851" w:footer="709"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itlePg/>
          <w:textDirection w:val="lrTb"/>
          <w:docGrid w:type="default" w:linePitch="360" w:charSpace="0"/>
        </w:sectPr>
        <w:pStyle w:val="Normal"/>
        <w:jc w:val="right"/>
        <w:rPr>
          <w:szCs w:val="26"/>
        </w:rPr>
      </w:pPr>
      <w:r>
        <w:rPr>
          <w:szCs w:val="26"/>
        </w:rPr>
      </w:r>
    </w:p>
    <w:p>
      <w:pPr>
        <w:pStyle w:val="2"/>
        <w:rPr>
          <w:szCs w:val="26"/>
        </w:rPr>
      </w:pPr>
      <w:bookmarkStart w:id="25" w:name="_Toc467665666"/>
      <w:bookmarkStart w:id="26" w:name="_Toc419202573"/>
      <w:r>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bookmarkEnd w:id="25"/>
      <w:bookmarkEnd w:id="26"/>
    </w:p>
    <w:p>
      <w:pPr>
        <w:sectPr>
          <w:footerReference w:type="default" r:id="rId7"/>
          <w:type w:val="nextPage"/>
          <w:pgSz w:w="11906" w:h="16838"/>
          <w:pgMar w:left="1134" w:right="567" w:gutter="0" w:header="0" w:top="851" w:footer="708"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rPr>
          <w:szCs w:val="26"/>
        </w:rPr>
      </w:pPr>
      <w:r>
        <w:rPr/>
        <w:t>Прогнозирование перспективных объемов потребления тепловой энергии не предусматривается в виду отсутствия информации о строительстве или модернизации промышленных предприятий с возможных изменений производственных зон и их перепрофилирования.</w:t>
      </w:r>
    </w:p>
    <w:p>
      <w:pPr>
        <w:pStyle w:val="1"/>
        <w:keepLines w:val="false"/>
        <w:spacing w:before="0" w:after="0"/>
        <w:rPr>
          <w:rFonts w:eastAsia="Times New Roman" w:cs="Times New Roman"/>
          <w:color w:val="000000"/>
          <w:szCs w:val="26"/>
        </w:rPr>
      </w:pPr>
      <w:bookmarkStart w:id="27" w:name="_Toc467665667"/>
      <w:bookmarkStart w:id="28" w:name="_Toc419202574"/>
      <w:r>
        <w:rPr>
          <w:szCs w:val="26"/>
        </w:rPr>
        <w:t>Раздел 2. Перспективные балансы располагаемой тепловой мощности источников тепловой энергии и тепловой нагрузки потребителей</w:t>
      </w:r>
      <w:bookmarkEnd w:id="27"/>
      <w:bookmarkEnd w:id="28"/>
    </w:p>
    <w:p>
      <w:pPr>
        <w:pStyle w:val="2"/>
        <w:rPr>
          <w:rFonts w:ascii="Times New Roman" w:hAnsi="Times New Roman" w:cs="Times New Roman"/>
          <w:i w:val="false"/>
          <w:i w:val="false"/>
          <w:color w:val="auto"/>
          <w:szCs w:val="26"/>
        </w:rPr>
      </w:pPr>
      <w:bookmarkStart w:id="29" w:name="_Toc467665668"/>
      <w:bookmarkStart w:id="30" w:name="_Toc419202575"/>
      <w:r>
        <w:rPr/>
        <w:t>2.1. Радиус эффективного теплоснабжения</w:t>
      </w:r>
      <w:bookmarkEnd w:id="29"/>
      <w:bookmarkEnd w:id="30"/>
    </w:p>
    <w:p>
      <w:pPr>
        <w:pStyle w:val="Normal"/>
        <w:rPr>
          <w:rFonts w:ascii="Times New Roman" w:hAnsi="Times New Roman" w:cs="Times New Roman"/>
          <w:i w:val="false"/>
          <w:i w:val="false"/>
          <w:color w:val="auto"/>
          <w:szCs w:val="26"/>
        </w:rPr>
      </w:pPr>
      <w:r>
        <w:rPr/>
        <w:t>Радиус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pPr>
        <w:pStyle w:val="Normal"/>
        <w:rPr>
          <w:rFonts w:ascii="Times New Roman" w:hAnsi="Times New Roman" w:cs="Times New Roman"/>
          <w:i w:val="false"/>
          <w:i w:val="false"/>
          <w:color w:val="auto"/>
          <w:szCs w:val="26"/>
        </w:rPr>
      </w:pPr>
      <w:r>
        <w:rPr/>
        <w:t>.</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2749"/>
        <w:gridCol w:w="3951"/>
        <w:gridCol w:w="3505"/>
      </w:tblGrid>
      <w:tr>
        <w:trPr>
          <w:trHeight w:val="950" w:hRule="exact"/>
        </w:trPr>
        <w:tc>
          <w:tcPr>
            <w:tcW w:w="27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37"/>
              <w:pBdr/>
              <w:shd w:val="clear" w:color="auto" w:fill="auto"/>
              <w:spacing w:lineRule="auto" w:line="276"/>
              <w:ind w:firstLine="709"/>
              <w:rPr>
                <w:sz w:val="26"/>
                <w:szCs w:val="26"/>
              </w:rPr>
              <w:framePr w:w="9518" w:h="299" w:x="-1134" w:y="1" w:hSpace="0" w:vSpace="0" w:wrap="notBeside" w:vAnchor="text" w:hAnchor="text" w:hRule="exact"/>
              <w:pBdr/>
            </w:pPr>
            <w:r>
              <w:rPr>
                <w:sz w:val="26"/>
                <w:szCs w:val="26"/>
              </w:rPr>
              <w:t>Таблица № 2.1.1. Радиусы действия теплоснабжения источников</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 тепловой энергии</w:t>
            </w:r>
          </w:p>
        </w:tc>
        <w:tc>
          <w:tcPr>
            <w:tcW w:w="3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Предельный радиус действия тепло снабжения</w:t>
            </w:r>
          </w:p>
          <w:p>
            <w:pPr>
              <w:pStyle w:val="Normal"/>
              <w:widowControl w:val="false"/>
              <w:spacing w:lineRule="auto" w:line="240"/>
              <w:ind w:hanging="0"/>
              <w:jc w:val="center"/>
              <w:rPr>
                <w:rFonts w:cs="Times New Roman"/>
                <w:sz w:val="24"/>
              </w:rPr>
            </w:pPr>
            <w:r>
              <w:rPr>
                <w:rStyle w:val="265pt"/>
                <w:rFonts w:eastAsia="Calibri" w:eastAsiaTheme="minorHAnsi"/>
                <w:color w:val="auto"/>
                <w:sz w:val="13"/>
                <w:lang w:val="en-US"/>
              </w:rPr>
              <w:t>R</w:t>
            </w:r>
            <w:r>
              <w:rPr>
                <w:rStyle w:val="265pt"/>
                <w:rFonts w:eastAsia="Calibri" w:eastAsiaTheme="minorHAnsi"/>
                <w:color w:val="auto"/>
                <w:sz w:val="13"/>
              </w:rPr>
              <w:t>пред., км</w:t>
            </w:r>
          </w:p>
        </w:tc>
        <w:tc>
          <w:tcPr>
            <w:tcW w:w="3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Эффективного радиус теплоснабжения</w:t>
            </w:r>
          </w:p>
          <w:p>
            <w:pPr>
              <w:pStyle w:val="Normal"/>
              <w:widowControl w:val="false"/>
              <w:spacing w:lineRule="auto" w:line="240"/>
              <w:ind w:hanging="0"/>
              <w:jc w:val="center"/>
              <w:rPr>
                <w:rFonts w:cs="Times New Roman"/>
                <w:sz w:val="24"/>
              </w:rPr>
            </w:pPr>
            <w:r>
              <w:rPr>
                <w:rStyle w:val="265pt"/>
                <w:rFonts w:eastAsia="Calibri" w:eastAsiaTheme="minorHAnsi"/>
                <w:color w:val="auto"/>
                <w:sz w:val="13"/>
                <w:lang w:val="en-US"/>
              </w:rPr>
              <w:t>R</w:t>
            </w:r>
            <w:r>
              <w:rPr>
                <w:rStyle w:val="265pt"/>
                <w:rFonts w:eastAsia="Calibri" w:eastAsiaTheme="minorHAnsi"/>
                <w:color w:val="auto"/>
                <w:sz w:val="13"/>
              </w:rPr>
              <w:t>опт., км</w:t>
            </w:r>
          </w:p>
        </w:tc>
      </w:tr>
      <w:tr>
        <w:trPr>
          <w:trHeight w:val="331" w:hRule="exact"/>
        </w:trPr>
        <w:tc>
          <w:tcPr>
            <w:tcW w:w="27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№1</w:t>
            </w:r>
          </w:p>
        </w:tc>
        <w:tc>
          <w:tcPr>
            <w:tcW w:w="3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0,84</w:t>
            </w:r>
          </w:p>
        </w:tc>
        <w:tc>
          <w:tcPr>
            <w:tcW w:w="3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0,47</w:t>
            </w:r>
          </w:p>
        </w:tc>
      </w:tr>
      <w:tr>
        <w:trPr>
          <w:trHeight w:val="331" w:hRule="exact"/>
        </w:trPr>
        <w:tc>
          <w:tcPr>
            <w:tcW w:w="27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tc>
        <w:tc>
          <w:tcPr>
            <w:tcW w:w="3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1,74</w:t>
            </w:r>
          </w:p>
        </w:tc>
        <w:tc>
          <w:tcPr>
            <w:tcW w:w="3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1,22</w:t>
            </w:r>
          </w:p>
        </w:tc>
      </w:tr>
      <w:tr>
        <w:trPr>
          <w:trHeight w:val="336" w:hRule="exact"/>
        </w:trPr>
        <w:tc>
          <w:tcPr>
            <w:tcW w:w="27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№4</w:t>
            </w:r>
          </w:p>
        </w:tc>
        <w:tc>
          <w:tcPr>
            <w:tcW w:w="3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0,57</w:t>
            </w:r>
          </w:p>
        </w:tc>
        <w:tc>
          <w:tcPr>
            <w:tcW w:w="3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0,37</w:t>
            </w:r>
          </w:p>
        </w:tc>
      </w:tr>
      <w:tr>
        <w:trPr>
          <w:trHeight w:val="341" w:hRule="exact"/>
        </w:trPr>
        <w:tc>
          <w:tcPr>
            <w:tcW w:w="27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№6</w:t>
            </w:r>
          </w:p>
        </w:tc>
        <w:tc>
          <w:tcPr>
            <w:tcW w:w="39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0,64</w:t>
            </w:r>
          </w:p>
        </w:tc>
        <w:tc>
          <w:tcPr>
            <w:tcW w:w="3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0,32</w:t>
            </w:r>
          </w:p>
        </w:tc>
      </w:tr>
    </w:tbl>
    <w:p>
      <w:pPr>
        <w:pStyle w:val="2"/>
        <w:rPr>
          <w:b w:val="false"/>
          <w:b w:val="false"/>
        </w:rPr>
      </w:pPr>
      <w:bookmarkStart w:id="31" w:name="_Toc467665669"/>
      <w:bookmarkStart w:id="32" w:name="_Toc419202576"/>
      <w:r>
        <w:rPr/>
        <w:t>2.2. Описание существующих и перспективных зон действия систем теплоснабжения и источников тепловой энергии</w:t>
      </w:r>
      <w:bookmarkEnd w:id="31"/>
      <w:bookmarkEnd w:id="32"/>
    </w:p>
    <w:p>
      <w:pPr>
        <w:pStyle w:val="Normal"/>
        <w:rPr>
          <w:rFonts w:ascii="Times New Roman" w:hAnsi="Times New Roman" w:cs="Times New Roman"/>
          <w:i w:val="false"/>
          <w:i w:val="false"/>
          <w:color w:val="auto"/>
          <w:szCs w:val="26"/>
        </w:rPr>
      </w:pPr>
      <w:r>
        <w:rP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pPr>
        <w:pStyle w:val="Normal"/>
        <w:rPr>
          <w:rFonts w:ascii="Times New Roman" w:hAnsi="Times New Roman" w:cs="Times New Roman"/>
          <w:i w:val="false"/>
          <w:i w:val="false"/>
          <w:color w:val="auto"/>
          <w:szCs w:val="26"/>
        </w:rPr>
      </w:pPr>
      <w:r>
        <w:rPr/>
        <w:t>Существующие зоны действия систем теплоснабжения</w:t>
      </w:r>
    </w:p>
    <w:p>
      <w:pPr>
        <w:pStyle w:val="Normal"/>
        <w:widowControl w:val="false"/>
        <w:numPr>
          <w:ilvl w:val="0"/>
          <w:numId w:val="1"/>
        </w:numPr>
        <w:tabs>
          <w:tab w:val="clear" w:pos="708"/>
          <w:tab w:val="left" w:pos="1525" w:leader="none"/>
        </w:tabs>
        <w:rPr>
          <w:rFonts w:ascii="Times New Roman" w:hAnsi="Times New Roman" w:cs="Times New Roman"/>
          <w:i w:val="false"/>
          <w:i w:val="false"/>
          <w:color w:val="auto"/>
          <w:szCs w:val="26"/>
        </w:rPr>
      </w:pPr>
      <w:r>
        <w:rPr/>
        <w:t>Зона действия Котельной №1 по ул. Вокзальная, 10а, (существующая и перспективная) распространяется на два жилых образования р.п. Курагино:</w:t>
      </w:r>
    </w:p>
    <w:p>
      <w:pPr>
        <w:pStyle w:val="Normal"/>
        <w:tabs>
          <w:tab w:val="clear" w:pos="708"/>
          <w:tab w:val="left" w:pos="1533" w:leader="none"/>
        </w:tabs>
        <w:rPr>
          <w:rFonts w:ascii="Times New Roman" w:hAnsi="Times New Roman" w:cs="Times New Roman"/>
          <w:i w:val="false"/>
          <w:i w:val="false"/>
          <w:color w:val="auto"/>
          <w:szCs w:val="26"/>
        </w:rPr>
      </w:pPr>
      <w:r>
        <w:rPr/>
        <w:t>а.</w:t>
        <w:tab/>
        <w:t>XIV жилое образование: ул. Вокзальная - 19 зданий, ул. Красноярская - 24 зданий, ул. Макаренко - 4 здания;</w:t>
      </w:r>
    </w:p>
    <w:p>
      <w:pPr>
        <w:pStyle w:val="Normal"/>
        <w:tabs>
          <w:tab w:val="clear" w:pos="708"/>
          <w:tab w:val="left" w:pos="1458" w:leader="none"/>
        </w:tabs>
        <w:rPr>
          <w:rFonts w:ascii="Times New Roman" w:hAnsi="Times New Roman" w:cs="Times New Roman"/>
          <w:i w:val="false"/>
          <w:i w:val="false"/>
          <w:color w:val="auto"/>
          <w:szCs w:val="26"/>
        </w:rPr>
      </w:pPr>
      <w:r>
        <w:rPr/>
        <w:t>б.</w:t>
        <w:tab/>
        <w:t>XV жилое образование: ул. Железнодорожная - 16 зданий, ул. Новомолодежная - 2 здания, ул. Лесная - 28 зданий, ул. Марийская - 3 здания.</w:t>
      </w:r>
    </w:p>
    <w:p>
      <w:pPr>
        <w:pStyle w:val="Normal"/>
        <w:widowControl w:val="false"/>
        <w:numPr>
          <w:ilvl w:val="0"/>
          <w:numId w:val="1"/>
        </w:numPr>
        <w:tabs>
          <w:tab w:val="clear" w:pos="708"/>
          <w:tab w:val="left" w:pos="1458" w:leader="none"/>
        </w:tabs>
        <w:rPr>
          <w:rFonts w:ascii="Times New Roman" w:hAnsi="Times New Roman" w:cs="Times New Roman"/>
          <w:i w:val="false"/>
          <w:i w:val="false"/>
          <w:color w:val="auto"/>
          <w:szCs w:val="26"/>
        </w:rPr>
      </w:pPr>
      <w:r>
        <w:rPr/>
        <w:t>Зона действия котельной №2 «Центральная котельная» - пер. Кооперативный, 15 (существующая и перспективная):</w:t>
      </w:r>
    </w:p>
    <w:p>
      <w:pPr>
        <w:pStyle w:val="Normal"/>
        <w:rPr>
          <w:rFonts w:ascii="Times New Roman" w:hAnsi="Times New Roman" w:cs="Times New Roman"/>
          <w:i w:val="false"/>
          <w:i w:val="false"/>
          <w:color w:val="auto"/>
          <w:szCs w:val="26"/>
        </w:rPr>
      </w:pPr>
      <w:r>
        <w:rPr/>
        <w:t>Вывод №1 (Мкр-н) распространяется на четыре жилых образования р.п. Курагино:</w:t>
      </w:r>
    </w:p>
    <w:p>
      <w:pPr>
        <w:pStyle w:val="Normal"/>
        <w:tabs>
          <w:tab w:val="clear" w:pos="708"/>
          <w:tab w:val="left" w:pos="1458" w:leader="none"/>
        </w:tabs>
        <w:rPr>
          <w:rFonts w:ascii="Times New Roman" w:hAnsi="Times New Roman" w:cs="Times New Roman"/>
          <w:i w:val="false"/>
          <w:i w:val="false"/>
          <w:color w:val="auto"/>
          <w:szCs w:val="26"/>
        </w:rPr>
      </w:pPr>
      <w:r>
        <w:rPr/>
        <w:t>а.</w:t>
        <w:tab/>
        <w:t>IX жилое образование: ул. Кошурникова - 24 здания, пер. Колхозный - 15 зданий, ул. Стофато - 11 зданий, ул. Спортивная - 1 здание, ул. Новостройка - 5 зданий, ул. Монаенко - 6 зданий; пер. Советский – 1 здание.</w:t>
      </w:r>
    </w:p>
    <w:p>
      <w:pPr>
        <w:pStyle w:val="Normal"/>
        <w:tabs>
          <w:tab w:val="clear" w:pos="708"/>
          <w:tab w:val="left" w:pos="1458" w:leader="none"/>
        </w:tabs>
        <w:rPr>
          <w:rFonts w:ascii="Times New Roman" w:hAnsi="Times New Roman" w:cs="Times New Roman"/>
          <w:i w:val="false"/>
          <w:i w:val="false"/>
          <w:color w:val="auto"/>
          <w:szCs w:val="26"/>
        </w:rPr>
      </w:pPr>
      <w:r>
        <w:rPr/>
        <w:t>б.</w:t>
        <w:tab/>
        <w:t>X жилое образование: ул. Кошурникова - 1 здание, пер. Колхозный</w:t>
      </w:r>
    </w:p>
    <w:p>
      <w:pPr>
        <w:pStyle w:val="Normal"/>
        <w:widowControl w:val="false"/>
        <w:numPr>
          <w:ilvl w:val="0"/>
          <w:numId w:val="2"/>
        </w:numPr>
        <w:tabs>
          <w:tab w:val="clear" w:pos="708"/>
          <w:tab w:val="left" w:pos="1760" w:leader="none"/>
        </w:tabs>
        <w:rPr>
          <w:rFonts w:ascii="Times New Roman" w:hAnsi="Times New Roman" w:cs="Times New Roman"/>
          <w:i w:val="false"/>
          <w:i w:val="false"/>
          <w:color w:val="auto"/>
          <w:szCs w:val="26"/>
        </w:rPr>
      </w:pPr>
      <w:r>
        <w:rPr/>
        <w:t>5 зданий, ул. Ленина - 2 здания, ул. Комсомольская - 15 зданий, ул. Советская - 6 зданий, ул. Ломоносова - 1 здание;</w:t>
      </w:r>
    </w:p>
    <w:p>
      <w:pPr>
        <w:pStyle w:val="Normal"/>
        <w:tabs>
          <w:tab w:val="clear" w:pos="708"/>
          <w:tab w:val="left" w:pos="1458" w:leader="none"/>
        </w:tabs>
        <w:rPr>
          <w:rFonts w:ascii="Times New Roman" w:hAnsi="Times New Roman" w:cs="Times New Roman"/>
          <w:i w:val="false"/>
          <w:i w:val="false"/>
          <w:color w:val="auto"/>
          <w:szCs w:val="26"/>
        </w:rPr>
      </w:pPr>
      <w:r>
        <w:rPr/>
        <w:t>в.</w:t>
        <w:tab/>
        <w:t>XII жилое образование: ул. Школьная - 7 зданий, ул. Влада Листьева - 3 здания, ул. Щетинкина - 4 здания, ул. Партизанская - 4 здания;</w:t>
      </w:r>
    </w:p>
    <w:p>
      <w:pPr>
        <w:pStyle w:val="Normal"/>
        <w:tabs>
          <w:tab w:val="clear" w:pos="708"/>
          <w:tab w:val="left" w:pos="1458" w:leader="none"/>
        </w:tabs>
        <w:rPr>
          <w:rFonts w:ascii="Times New Roman" w:hAnsi="Times New Roman" w:cs="Times New Roman"/>
          <w:i w:val="false"/>
          <w:i w:val="false"/>
          <w:color w:val="auto"/>
          <w:szCs w:val="26"/>
        </w:rPr>
      </w:pPr>
      <w:r>
        <w:rPr/>
        <w:t>г.</w:t>
        <w:tab/>
        <w:t>XIII жилое образование: ул. Фрунзе - 5 зданий, пер. Заречный - 1 здание, ул. Партизанская - 1 здание;</w:t>
      </w:r>
    </w:p>
    <w:p>
      <w:pPr>
        <w:pStyle w:val="Normal"/>
        <w:rPr>
          <w:rFonts w:ascii="Times New Roman" w:hAnsi="Times New Roman" w:cs="Times New Roman"/>
          <w:i w:val="false"/>
          <w:i w:val="false"/>
          <w:color w:val="auto"/>
          <w:szCs w:val="26"/>
        </w:rPr>
      </w:pPr>
      <w:r>
        <w:rPr/>
        <w:t>Вывод №2 (Больничный) распространяется на четыре жилых образования р.п. Курагино:</w:t>
      </w:r>
    </w:p>
    <w:p>
      <w:pPr>
        <w:pStyle w:val="Normal"/>
        <w:tabs>
          <w:tab w:val="clear" w:pos="708"/>
          <w:tab w:val="left" w:pos="1458" w:leader="none"/>
        </w:tabs>
        <w:rPr>
          <w:rFonts w:ascii="Times New Roman" w:hAnsi="Times New Roman" w:cs="Times New Roman"/>
          <w:i w:val="false"/>
          <w:i w:val="false"/>
          <w:color w:val="auto"/>
          <w:szCs w:val="26"/>
        </w:rPr>
      </w:pPr>
      <w:r>
        <w:rPr/>
        <w:t>д.</w:t>
        <w:tab/>
        <w:t>IV жилое образование: ул. Кравченко - 7 зданий, пер. Транспортный</w:t>
      </w:r>
    </w:p>
    <w:p>
      <w:pPr>
        <w:pStyle w:val="Normal"/>
        <w:widowControl w:val="false"/>
        <w:numPr>
          <w:ilvl w:val="0"/>
          <w:numId w:val="2"/>
        </w:numPr>
        <w:tabs>
          <w:tab w:val="clear" w:pos="708"/>
          <w:tab w:val="left" w:pos="1765" w:leader="none"/>
        </w:tabs>
        <w:rPr>
          <w:rFonts w:ascii="Times New Roman" w:hAnsi="Times New Roman" w:cs="Times New Roman"/>
          <w:i w:val="false"/>
          <w:i w:val="false"/>
          <w:color w:val="auto"/>
          <w:szCs w:val="26"/>
        </w:rPr>
      </w:pPr>
      <w:r>
        <w:rPr/>
        <w:t>4 здания, пер. Больничный - 10 зданий, ул. Ленина - 4 здания, ул. Партизанская - 11 зданий;</w:t>
      </w:r>
    </w:p>
    <w:p>
      <w:pPr>
        <w:pStyle w:val="Normal"/>
        <w:tabs>
          <w:tab w:val="clear" w:pos="708"/>
          <w:tab w:val="left" w:pos="1458" w:leader="none"/>
        </w:tabs>
        <w:rPr>
          <w:rFonts w:ascii="Times New Roman" w:hAnsi="Times New Roman" w:cs="Times New Roman"/>
          <w:i w:val="false"/>
          <w:i w:val="false"/>
          <w:color w:val="auto"/>
          <w:szCs w:val="26"/>
        </w:rPr>
      </w:pPr>
      <w:r>
        <w:rPr/>
        <w:t>е.</w:t>
        <w:tab/>
        <w:t>VI жилое образование: ул. Петряева - 4 здания, ул. Ленина - 12 зданий, ул. Тютчева - 4 здания,</w:t>
      </w:r>
    </w:p>
    <w:p>
      <w:pPr>
        <w:pStyle w:val="Normal"/>
        <w:tabs>
          <w:tab w:val="clear" w:pos="708"/>
          <w:tab w:val="left" w:pos="1501" w:leader="none"/>
        </w:tabs>
        <w:rPr>
          <w:rFonts w:ascii="Times New Roman" w:hAnsi="Times New Roman" w:cs="Times New Roman"/>
          <w:i w:val="false"/>
          <w:i w:val="false"/>
          <w:color w:val="auto"/>
          <w:szCs w:val="26"/>
        </w:rPr>
      </w:pPr>
      <w:r>
        <w:rPr/>
        <w:t>ж.</w:t>
        <w:tab/>
        <w:t>X жилое образование: ул. Ленина - 1 здание, ул. Комсомольская - 2 здания;</w:t>
      </w:r>
    </w:p>
    <w:p>
      <w:pPr>
        <w:pStyle w:val="Normal"/>
        <w:tabs>
          <w:tab w:val="clear" w:pos="708"/>
          <w:tab w:val="left" w:pos="1501" w:leader="none"/>
        </w:tabs>
        <w:rPr>
          <w:rFonts w:ascii="Times New Roman" w:hAnsi="Times New Roman" w:cs="Times New Roman"/>
          <w:i w:val="false"/>
          <w:i w:val="false"/>
          <w:color w:val="auto"/>
          <w:szCs w:val="26"/>
        </w:rPr>
      </w:pPr>
      <w:r>
        <w:rPr/>
        <w:t>з.</w:t>
        <w:tab/>
        <w:t>XI жилое образование: ул. Партизанская - 13 зданий, ул. Лебедева - 1 здание, ул. Лепешинских - 5 зданий, ул. Советская - 5 зданий, пер. Кооперативный -1 здание;</w:t>
      </w:r>
    </w:p>
    <w:p>
      <w:pPr>
        <w:pStyle w:val="Normal"/>
        <w:widowControl w:val="false"/>
        <w:numPr>
          <w:ilvl w:val="0"/>
          <w:numId w:val="1"/>
        </w:numPr>
        <w:rPr>
          <w:rFonts w:ascii="Times New Roman" w:hAnsi="Times New Roman" w:cs="Times New Roman"/>
          <w:i w:val="false"/>
          <w:i w:val="false"/>
          <w:color w:val="auto"/>
          <w:szCs w:val="26"/>
        </w:rPr>
      </w:pPr>
      <w:r>
        <w:rPr/>
        <w:t xml:space="preserve"> </w:t>
      </w:r>
      <w:r>
        <w:rPr/>
        <w:t>Зона действия Котельной №4 п. Ойха, распространяется (существующая и перспективная): на поселок Ойха по ул. Юбилейная - 3 здания, ул. Мира - 13 зданий.</w:t>
      </w:r>
    </w:p>
    <w:p>
      <w:pPr>
        <w:pStyle w:val="Normal"/>
        <w:widowControl w:val="false"/>
        <w:numPr>
          <w:ilvl w:val="0"/>
          <w:numId w:val="1"/>
        </w:numPr>
        <w:rPr>
          <w:rFonts w:ascii="Times New Roman" w:hAnsi="Times New Roman" w:cs="Times New Roman"/>
          <w:i w:val="false"/>
          <w:i w:val="false"/>
          <w:color w:val="auto"/>
          <w:szCs w:val="26"/>
        </w:rPr>
      </w:pPr>
      <w:r>
        <w:rPr/>
        <w:t xml:space="preserve"> </w:t>
      </w:r>
      <w:r>
        <w:rPr/>
        <w:t>Зона действия Котельной № 6 (Очистные сооружения) распространяется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теплоснабжения: административно производственный корпус, установка доочистки стоков, хлораторная.</w:t>
      </w:r>
    </w:p>
    <w:p>
      <w:pPr>
        <w:pStyle w:val="Normal"/>
        <w:rPr>
          <w:rFonts w:ascii="Times New Roman" w:hAnsi="Times New Roman" w:cs="Times New Roman"/>
          <w:i w:val="false"/>
          <w:i w:val="false"/>
          <w:color w:val="auto"/>
          <w:szCs w:val="26"/>
        </w:rPr>
      </w:pPr>
      <w:r>
        <w:rPr/>
        <w:t>Перспективные зоны действия систем теплоснабжения</w:t>
      </w:r>
    </w:p>
    <w:p>
      <w:pPr>
        <w:pStyle w:val="Normal"/>
        <w:widowControl w:val="false"/>
        <w:numPr>
          <w:ilvl w:val="0"/>
          <w:numId w:val="3"/>
        </w:numPr>
        <w:tabs>
          <w:tab w:val="clear" w:pos="708"/>
          <w:tab w:val="left" w:pos="987" w:leader="none"/>
        </w:tabs>
        <w:rPr>
          <w:rFonts w:ascii="Times New Roman" w:hAnsi="Times New Roman" w:cs="Times New Roman"/>
          <w:i w:val="false"/>
          <w:i w:val="false"/>
          <w:color w:val="auto"/>
          <w:szCs w:val="26"/>
        </w:rPr>
      </w:pPr>
      <w:r>
        <w:rPr/>
        <w:t>Зона действия Котельной №1 по ул. Вокзальная, 10а, (существующая и перспективная) распространяется на два жилых образования р.п. Курагино:</w:t>
      </w:r>
    </w:p>
    <w:p>
      <w:pPr>
        <w:pStyle w:val="Normal"/>
        <w:tabs>
          <w:tab w:val="clear" w:pos="708"/>
          <w:tab w:val="left" w:pos="1209" w:leader="none"/>
        </w:tabs>
        <w:rPr>
          <w:rFonts w:ascii="Times New Roman" w:hAnsi="Times New Roman" w:cs="Times New Roman"/>
          <w:i w:val="false"/>
          <w:i w:val="false"/>
          <w:color w:val="auto"/>
          <w:szCs w:val="26"/>
        </w:rPr>
      </w:pPr>
      <w:r>
        <w:rPr/>
        <w:t>в.</w:t>
        <w:tab/>
        <w:t>XIV жилое образование: ул. Вокзальная - 19 зданий, ул. Красноярская - 24 зданий, ул. Макаренко - 4 здания;</w:t>
      </w:r>
    </w:p>
    <w:p>
      <w:pPr>
        <w:pStyle w:val="Normal"/>
        <w:tabs>
          <w:tab w:val="clear" w:pos="708"/>
          <w:tab w:val="left" w:pos="1209" w:leader="none"/>
        </w:tabs>
        <w:rPr>
          <w:rFonts w:ascii="Times New Roman" w:hAnsi="Times New Roman" w:cs="Times New Roman"/>
          <w:i w:val="false"/>
          <w:i w:val="false"/>
          <w:color w:val="auto"/>
          <w:szCs w:val="26"/>
        </w:rPr>
      </w:pPr>
      <w:r>
        <w:rPr/>
        <w:t>г.</w:t>
        <w:tab/>
        <w:t>XV жилое образование: ул. Железнодорожная - 16 зданий, ул. Новомолодежная - 2 здания, ул. Лесная - 28 зданий, ул. Марийская - 3 здания, 1 здание по ул. Марийская.</w:t>
      </w:r>
    </w:p>
    <w:p>
      <w:pPr>
        <w:pStyle w:val="Normal"/>
        <w:widowControl w:val="false"/>
        <w:numPr>
          <w:ilvl w:val="0"/>
          <w:numId w:val="3"/>
        </w:numPr>
        <w:tabs>
          <w:tab w:val="clear" w:pos="708"/>
          <w:tab w:val="left" w:pos="1209" w:leader="none"/>
        </w:tabs>
        <w:rPr>
          <w:rFonts w:ascii="Times New Roman" w:hAnsi="Times New Roman" w:cs="Times New Roman"/>
          <w:i w:val="false"/>
          <w:i w:val="false"/>
          <w:color w:val="auto"/>
          <w:szCs w:val="26"/>
        </w:rPr>
      </w:pPr>
      <w:r>
        <w:rPr/>
        <w:t>Зона действия котельной №2 «Центральная котельная» - пер. Кооперативный, 15 (существующая и перспективная):</w:t>
      </w:r>
    </w:p>
    <w:p>
      <w:pPr>
        <w:pStyle w:val="Normal"/>
        <w:rPr>
          <w:rFonts w:ascii="Times New Roman" w:hAnsi="Times New Roman" w:cs="Times New Roman"/>
          <w:i w:val="false"/>
          <w:i w:val="false"/>
          <w:color w:val="auto"/>
          <w:szCs w:val="26"/>
        </w:rPr>
      </w:pPr>
      <w:r>
        <w:rPr/>
        <w:t>Вывод №1 (Мкр-н) распространяется на четыре жилых образования р.п. Курагино:</w:t>
      </w:r>
    </w:p>
    <w:p>
      <w:pPr>
        <w:pStyle w:val="Normal"/>
        <w:tabs>
          <w:tab w:val="clear" w:pos="708"/>
          <w:tab w:val="left" w:pos="1209" w:leader="none"/>
        </w:tabs>
        <w:rPr>
          <w:rFonts w:ascii="Times New Roman" w:hAnsi="Times New Roman" w:cs="Times New Roman"/>
          <w:i w:val="false"/>
          <w:i w:val="false"/>
          <w:color w:val="auto"/>
          <w:szCs w:val="26"/>
        </w:rPr>
      </w:pPr>
      <w:r>
        <w:rPr/>
        <w:t>и.</w:t>
        <w:tab/>
        <w:t>IX жилое образование: ул. Кошурникова - 24 здания, пер. Колхозный - 16 зданий, ул. Стофато - 11 зданий, ул. Спортивная - 1 здание, ул. Новостройка - 5 зданий, ул. Монаенко - 6 зданий, 7 зданий по пер. Колхозный;</w:t>
      </w:r>
    </w:p>
    <w:p>
      <w:pPr>
        <w:pStyle w:val="Normal"/>
        <w:tabs>
          <w:tab w:val="clear" w:pos="708"/>
          <w:tab w:val="left" w:pos="1209" w:leader="none"/>
        </w:tabs>
        <w:rPr>
          <w:rFonts w:ascii="Times New Roman" w:hAnsi="Times New Roman" w:cs="Times New Roman"/>
          <w:i w:val="false"/>
          <w:i w:val="false"/>
          <w:color w:val="auto"/>
          <w:szCs w:val="26"/>
        </w:rPr>
      </w:pPr>
      <w:r>
        <w:rPr/>
        <w:t>к.</w:t>
        <w:tab/>
        <w:t>X жилое образование: ул. Кошурникова - 1 здание, пер. Колхозный</w:t>
      </w:r>
    </w:p>
    <w:p>
      <w:pPr>
        <w:pStyle w:val="Normal"/>
        <w:widowControl w:val="false"/>
        <w:numPr>
          <w:ilvl w:val="0"/>
          <w:numId w:val="2"/>
        </w:numPr>
        <w:tabs>
          <w:tab w:val="clear" w:pos="708"/>
          <w:tab w:val="left" w:pos="1490" w:leader="none"/>
        </w:tabs>
        <w:rPr>
          <w:rFonts w:ascii="Times New Roman" w:hAnsi="Times New Roman" w:cs="Times New Roman"/>
          <w:i w:val="false"/>
          <w:i w:val="false"/>
          <w:color w:val="auto"/>
          <w:szCs w:val="26"/>
        </w:rPr>
      </w:pPr>
      <w:r>
        <w:rPr/>
        <w:t>5 зданий, ул. Ленина - 2 здания, ул. Комсомольская - 15 зданий, ул. Советская - 6 зданий, ул. Ломоносова - 1 здание, 1 здание по ул. Советская;</w:t>
      </w:r>
    </w:p>
    <w:p>
      <w:pPr>
        <w:pStyle w:val="Normal"/>
        <w:tabs>
          <w:tab w:val="clear" w:pos="708"/>
          <w:tab w:val="left" w:pos="1209" w:leader="none"/>
        </w:tabs>
        <w:rPr>
          <w:rFonts w:ascii="Times New Roman" w:hAnsi="Times New Roman" w:cs="Times New Roman"/>
          <w:i w:val="false"/>
          <w:i w:val="false"/>
          <w:color w:val="auto"/>
          <w:szCs w:val="26"/>
        </w:rPr>
      </w:pPr>
      <w:r>
        <w:rPr/>
        <w:t>л.</w:t>
        <w:tab/>
        <w:t>XII жилое образование: ул. Школьная - 7 зданий, ул. Влада Листьева - 3 здания, ул. Щетинкина - 4 здания, ул. Партизанская - 4 здания;</w:t>
      </w:r>
    </w:p>
    <w:p>
      <w:pPr>
        <w:pStyle w:val="Normal"/>
        <w:tabs>
          <w:tab w:val="clear" w:pos="708"/>
          <w:tab w:val="left" w:pos="1212" w:leader="none"/>
        </w:tabs>
        <w:rPr>
          <w:rFonts w:ascii="Times New Roman" w:hAnsi="Times New Roman" w:cs="Times New Roman"/>
          <w:i w:val="false"/>
          <w:i w:val="false"/>
          <w:color w:val="auto"/>
          <w:szCs w:val="26"/>
        </w:rPr>
      </w:pPr>
      <w:r>
        <w:rPr/>
        <w:t>м.</w:t>
        <w:tab/>
        <w:t>XIII жилое образование: ул. Фрунзе - 5 зданий, пер. Заречный - 1 здание, ул. Партизанская - 1 здание;</w:t>
      </w:r>
    </w:p>
    <w:p>
      <w:pPr>
        <w:pStyle w:val="Normal"/>
        <w:rPr>
          <w:rFonts w:ascii="Times New Roman" w:hAnsi="Times New Roman" w:cs="Times New Roman"/>
          <w:i w:val="false"/>
          <w:i w:val="false"/>
          <w:color w:val="auto"/>
          <w:szCs w:val="26"/>
        </w:rPr>
      </w:pPr>
      <w:r>
        <w:rPr/>
        <w:t>Вывод №2 (Больничный) распространяется на четыре жилых образования р.п. Курагино:</w:t>
      </w:r>
    </w:p>
    <w:p>
      <w:pPr>
        <w:pStyle w:val="Normal"/>
        <w:tabs>
          <w:tab w:val="clear" w:pos="708"/>
          <w:tab w:val="left" w:pos="1212" w:leader="none"/>
        </w:tabs>
        <w:rPr>
          <w:rFonts w:ascii="Times New Roman" w:hAnsi="Times New Roman" w:cs="Times New Roman"/>
          <w:i w:val="false"/>
          <w:i w:val="false"/>
          <w:color w:val="auto"/>
          <w:szCs w:val="26"/>
        </w:rPr>
      </w:pPr>
      <w:r>
        <w:rPr/>
        <w:t>н.</w:t>
        <w:tab/>
        <w:t>IV жилое образование: ул. Кравченко - 7 зданий, пер. Транспортный</w:t>
      </w:r>
    </w:p>
    <w:p>
      <w:pPr>
        <w:pStyle w:val="Normal"/>
        <w:widowControl w:val="false"/>
        <w:numPr>
          <w:ilvl w:val="0"/>
          <w:numId w:val="2"/>
        </w:numPr>
        <w:tabs>
          <w:tab w:val="clear" w:pos="708"/>
          <w:tab w:val="left" w:pos="1495" w:leader="none"/>
        </w:tabs>
        <w:rPr>
          <w:rFonts w:ascii="Times New Roman" w:hAnsi="Times New Roman" w:cs="Times New Roman"/>
          <w:i w:val="false"/>
          <w:i w:val="false"/>
          <w:color w:val="auto"/>
          <w:szCs w:val="26"/>
        </w:rPr>
      </w:pPr>
      <w:r>
        <w:rPr/>
        <w:t>4 здания, пер. Больничный - 10 зданий, ул. Ленина - 4 здания, ул. Партизанская - 11 зданий, 1 здание по пер. Больничный;</w:t>
      </w:r>
    </w:p>
    <w:p>
      <w:pPr>
        <w:pStyle w:val="Normal"/>
        <w:tabs>
          <w:tab w:val="clear" w:pos="708"/>
          <w:tab w:val="left" w:pos="1212" w:leader="none"/>
        </w:tabs>
        <w:rPr>
          <w:rFonts w:ascii="Times New Roman" w:hAnsi="Times New Roman" w:cs="Times New Roman"/>
          <w:i w:val="false"/>
          <w:i w:val="false"/>
          <w:color w:val="auto"/>
          <w:szCs w:val="26"/>
        </w:rPr>
      </w:pPr>
      <w:r>
        <w:rPr/>
        <w:t>о.</w:t>
        <w:tab/>
        <w:t>VI жилое образование: ул. Петряева - 4 здания, ул. Ленина - 12 зданий, ул. Тютчева - 4 здания,</w:t>
      </w:r>
    </w:p>
    <w:p>
      <w:pPr>
        <w:pStyle w:val="Normal"/>
        <w:tabs>
          <w:tab w:val="clear" w:pos="708"/>
          <w:tab w:val="left" w:pos="1212" w:leader="none"/>
        </w:tabs>
        <w:rPr>
          <w:rFonts w:ascii="Times New Roman" w:hAnsi="Times New Roman" w:cs="Times New Roman"/>
          <w:i w:val="false"/>
          <w:i w:val="false"/>
          <w:color w:val="auto"/>
          <w:szCs w:val="26"/>
        </w:rPr>
      </w:pPr>
      <w:r>
        <w:rPr/>
        <w:t>п.</w:t>
        <w:tab/>
        <w:t>X жилое образование: ул. Ленина - 1 здание, ул. Комсомольская - 2 здания;</w:t>
      </w:r>
    </w:p>
    <w:p>
      <w:pPr>
        <w:pStyle w:val="Normal"/>
        <w:tabs>
          <w:tab w:val="clear" w:pos="708"/>
          <w:tab w:val="left" w:pos="1212" w:leader="none"/>
        </w:tabs>
        <w:rPr>
          <w:rFonts w:ascii="Times New Roman" w:hAnsi="Times New Roman" w:cs="Times New Roman"/>
          <w:i w:val="false"/>
          <w:i w:val="false"/>
          <w:color w:val="auto"/>
          <w:szCs w:val="26"/>
        </w:rPr>
      </w:pPr>
      <w:r>
        <w:rPr/>
        <w:t>р.</w:t>
        <w:tab/>
        <w:t>XI жилое образование: ул. Партизанская - 13 зданий, ул. Лебедева - 1 здание, ул. Лепешинских - 5 зданий, ул. Советская - 5 зданий, пер. Кооперативный -1 здание;</w:t>
      </w:r>
    </w:p>
    <w:p>
      <w:pPr>
        <w:pStyle w:val="Normal"/>
        <w:widowControl w:val="false"/>
        <w:numPr>
          <w:ilvl w:val="0"/>
          <w:numId w:val="3"/>
        </w:numPr>
        <w:rPr>
          <w:rFonts w:ascii="Times New Roman" w:hAnsi="Times New Roman" w:cs="Times New Roman"/>
          <w:i w:val="false"/>
          <w:i w:val="false"/>
          <w:color w:val="auto"/>
          <w:szCs w:val="26"/>
        </w:rPr>
      </w:pPr>
      <w:r>
        <w:rPr/>
        <w:t xml:space="preserve"> </w:t>
      </w:r>
      <w:r>
        <w:rPr/>
        <w:t>Зона действия Котельной №4 п. Ойха, распространяется (существующая и перспективная): на поселок Ойха по ул. Юбилейная - 3 здания, ул. Мира - 13 зданий.</w:t>
      </w:r>
    </w:p>
    <w:p>
      <w:pPr>
        <w:pStyle w:val="Normal"/>
        <w:rPr>
          <w:rFonts w:ascii="Times New Roman" w:hAnsi="Times New Roman" w:cs="Times New Roman"/>
          <w:i w:val="false"/>
          <w:i w:val="false"/>
          <w:color w:val="auto"/>
          <w:szCs w:val="26"/>
        </w:rPr>
      </w:pPr>
      <w:r>
        <w:rPr/>
        <w:t xml:space="preserve"> </w:t>
      </w:r>
      <w:r>
        <w:rPr/>
        <w:t>Зона действия Котельной № 6 (Очистные сооружения) распространяется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теплоснабжения: административно производственный корпус, установка доочистки стоков, хлораторная, в XV жилое образование: детский сад, школа, учреждение торговли и общепит.</w:t>
      </w:r>
    </w:p>
    <w:p>
      <w:pPr>
        <w:pStyle w:val="Normal"/>
        <w:rPr>
          <w:rFonts w:ascii="Times New Roman" w:hAnsi="Times New Roman" w:cs="Times New Roman"/>
          <w:i w:val="false"/>
          <w:i w:val="false"/>
          <w:color w:val="auto"/>
          <w:szCs w:val="26"/>
        </w:rPr>
      </w:pPr>
      <w:r>
        <w:rPr/>
      </w:r>
    </w:p>
    <w:p>
      <w:pPr>
        <w:pStyle w:val="Normal"/>
        <w:rPr>
          <w:rStyle w:val="21"/>
          <w:b w:val="false"/>
          <w:b w:val="false"/>
        </w:rPr>
      </w:pPr>
      <w:bookmarkStart w:id="33" w:name="_Toc467665670"/>
      <w:bookmarkStart w:id="34" w:name="_Toc419202577"/>
      <w:r>
        <w:rPr>
          <w:rStyle w:val="21"/>
        </w:rPr>
        <w:t>2.3. Описание существующих и перспективных зон действия индивидуальных источников тепловой энергии</w:t>
      </w:r>
      <w:bookmarkEnd w:id="33"/>
      <w:bookmarkEnd w:id="34"/>
    </w:p>
    <w:p>
      <w:pPr>
        <w:pStyle w:val="Normal"/>
        <w:widowControl w:val="false"/>
        <w:numPr>
          <w:ilvl w:val="0"/>
          <w:numId w:val="4"/>
        </w:numPr>
        <w:tabs>
          <w:tab w:val="clear" w:pos="708"/>
          <w:tab w:val="left" w:pos="2171" w:leader="none"/>
          <w:tab w:val="left" w:pos="7595" w:leader="none"/>
        </w:tabs>
        <w:rPr>
          <w:rFonts w:ascii="Times New Roman" w:hAnsi="Times New Roman" w:cs="Times New Roman"/>
          <w:i w:val="false"/>
          <w:i w:val="false"/>
          <w:color w:val="auto"/>
          <w:szCs w:val="26"/>
        </w:rPr>
      </w:pPr>
      <w:r>
        <w:rPr/>
        <w:t>В пгт. Курагино индивидуальное</w:t>
        <w:tab/>
        <w:t>теплоснабжение распространяется, в основном, на частный сектор. Населенный пункт не газифицирован, поэтому основным видом топлива индивидуальных источников служат уголь и дрова.</w:t>
      </w:r>
    </w:p>
    <w:p>
      <w:pPr>
        <w:pStyle w:val="Normal"/>
        <w:widowControl w:val="false"/>
        <w:numPr>
          <w:ilvl w:val="0"/>
          <w:numId w:val="4"/>
        </w:numPr>
        <w:tabs>
          <w:tab w:val="clear" w:pos="708"/>
          <w:tab w:val="left" w:pos="1841" w:leader="none"/>
        </w:tabs>
        <w:rPr>
          <w:rFonts w:cs="Times New Roman"/>
          <w:szCs w:val="26"/>
        </w:rPr>
      </w:pPr>
      <w:r>
        <w:rPr/>
        <w:t xml:space="preserve">В п. Ойха индивидуальное теплоснабжение распространяется, в основном, на частный сектор. Населенный пункт не газифицирован, поэтому основным видом топлива индивидуальных источников служат уголь и </w:t>
      </w:r>
      <w:r>
        <w:rPr>
          <w:rFonts w:cs="Times New Roman"/>
          <w:szCs w:val="26"/>
        </w:rPr>
        <w:t>дрова.</w:t>
      </w:r>
    </w:p>
    <w:p>
      <w:pPr>
        <w:pStyle w:val="2"/>
        <w:rPr>
          <w:b w:val="false"/>
          <w:b w:val="false"/>
        </w:rPr>
      </w:pPr>
      <w:bookmarkStart w:id="35" w:name="_Toc467665671"/>
      <w:bookmarkStart w:id="36" w:name="_Toc419202578"/>
      <w:r>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bookmarkEnd w:id="35"/>
      <w:bookmarkEnd w:id="36"/>
    </w:p>
    <w:p>
      <w:pPr>
        <w:sectPr>
          <w:footerReference w:type="default" r:id="rId8"/>
          <w:type w:val="nextPage"/>
          <w:pgSz w:w="11906" w:h="16838"/>
          <w:pgMar w:left="1134" w:right="567" w:gutter="0" w:header="0" w:top="851" w:footer="708"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rPr>
          <w:rFonts w:ascii="Times New Roman" w:hAnsi="Times New Roman" w:cs="Times New Roman"/>
          <w:i w:val="false"/>
          <w:i w:val="false"/>
          <w:color w:val="auto"/>
          <w:szCs w:val="26"/>
        </w:rPr>
      </w:pPr>
      <w:r>
        <w:rPr/>
        <w:t>Расчет перспективных балансов тепловой мощности и тепловой нагрузки в перспективных зонах действия источников тепловой энергии на каждом этапе внесены в таблицу 2.1.4.</w:t>
      </w:r>
    </w:p>
    <w:p>
      <w:pPr>
        <w:pStyle w:val="Normal"/>
        <w:rPr>
          <w:rFonts w:ascii="Times New Roman" w:hAnsi="Times New Roman" w:cs="Times New Roman"/>
          <w:i w:val="false"/>
          <w:i w:val="false"/>
          <w:color w:val="auto"/>
          <w:szCs w:val="26"/>
        </w:rPr>
      </w:pPr>
      <w:r>
        <w:rPr/>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Гкал/ч.</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2983"/>
        <w:gridCol w:w="5945"/>
        <w:gridCol w:w="1265"/>
        <w:gridCol w:w="1236"/>
        <w:gridCol w:w="1230"/>
        <w:gridCol w:w="1235"/>
        <w:gridCol w:w="1241"/>
      </w:tblGrid>
      <w:tr>
        <w:trPr>
          <w:trHeight w:val="1315" w:hRule="exact"/>
        </w:trPr>
        <w:tc>
          <w:tcPr>
            <w:tcW w:w="29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Зона действия источника тепловой энергии</w:t>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Тепловая нагрузка перспективных зон/тепловая мощность источников</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2021т</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2022т</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2023т</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2026т</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2027-</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2032т</w:t>
            </w:r>
          </w:p>
        </w:tc>
      </w:tr>
      <w:tr>
        <w:trPr>
          <w:trHeight w:val="379" w:hRule="exact"/>
        </w:trPr>
        <w:tc>
          <w:tcPr>
            <w:tcW w:w="29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Индивидуальный</w:t>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0,1826</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0,1826</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0,1826</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0,1826</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0,1826</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w:t>
            </w:r>
          </w:p>
        </w:tc>
      </w:tr>
      <w:tr>
        <w:trPr>
          <w:trHeight w:val="379" w:hRule="exact"/>
        </w:trPr>
        <w:tc>
          <w:tcPr>
            <w:tcW w:w="29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Индивидуальный</w:t>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VIII</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0,1075</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0,1075</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0,1075</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0,1075</w:t>
            </w:r>
          </w:p>
          <w:p>
            <w:pPr>
              <w:pStyle w:val="Normal"/>
              <w:widowControl w:val="false"/>
              <w:spacing w:lineRule="auto" w:line="240"/>
              <w:ind w:hanging="0"/>
              <w:jc w:val="center"/>
              <w:rPr>
                <w:rFonts w:cs="Times New Roman"/>
                <w:sz w:val="24"/>
              </w:rPr>
            </w:pPr>
            <w:r>
              <w:rPr>
                <w:rFonts w:cs="Times New Roman"/>
                <w:sz w:val="24"/>
              </w:rPr>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0,1075</w:t>
            </w:r>
          </w:p>
        </w:tc>
      </w:tr>
      <w:tr>
        <w:trPr>
          <w:trHeight w:val="384"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0,2</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w:t>
            </w:r>
          </w:p>
        </w:tc>
      </w:tr>
      <w:tr>
        <w:trPr>
          <w:trHeight w:val="379" w:hRule="exact"/>
        </w:trPr>
        <w:tc>
          <w:tcPr>
            <w:tcW w:w="29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IV</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1,5414</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1,5414</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1,5414</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1,5414</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1,5414</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VI</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1,0299</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1,0299</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1,0299</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1,0299</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1,0299</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IX</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3,8142</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3,8142</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3,9271</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4,1347</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4,2385</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1,3637</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1,3637</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1,3637</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1,3637</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1,3637</w:t>
            </w:r>
          </w:p>
        </w:tc>
      </w:tr>
      <w:tr>
        <w:trPr>
          <w:trHeight w:val="384"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1,8047</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XII</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0,8626</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0,8626</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0,8626</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0,8626</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0,8626</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XIII</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0,1467</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0,1467</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0,1467</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0,1467</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0,1467</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21,5</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21,5</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21,5</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21,5</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21,5</w:t>
            </w:r>
          </w:p>
        </w:tc>
      </w:tr>
      <w:tr>
        <w:trPr>
          <w:trHeight w:val="384" w:hRule="exact"/>
        </w:trPr>
        <w:tc>
          <w:tcPr>
            <w:tcW w:w="29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№1</w:t>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XIV</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2,3805</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2,3805</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2,3805</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2,3805</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2,3805</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XV</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1,1527</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1,1527</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1,1527</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1,1527</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1,1527</w:t>
            </w:r>
          </w:p>
        </w:tc>
      </w:tr>
      <w:tr>
        <w:trPr>
          <w:trHeight w:val="379"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6,75</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6,75</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6,75</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6,75</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6,75</w:t>
            </w:r>
          </w:p>
        </w:tc>
      </w:tr>
      <w:tr>
        <w:trPr>
          <w:trHeight w:val="490" w:hRule="exact"/>
        </w:trPr>
        <w:tc>
          <w:tcPr>
            <w:tcW w:w="29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№6 после</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реконструкции</w:t>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XV*</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0,3262</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0,3262</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0,3262</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0,7332</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0,7332</w:t>
            </w:r>
          </w:p>
        </w:tc>
      </w:tr>
      <w:tr>
        <w:trPr>
          <w:trHeight w:val="494" w:hRule="exact"/>
        </w:trPr>
        <w:tc>
          <w:tcPr>
            <w:tcW w:w="298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5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источник</w:t>
            </w:r>
          </w:p>
        </w:tc>
        <w:tc>
          <w:tcPr>
            <w:tcW w:w="1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c>
          <w:tcPr>
            <w:tcW w:w="12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c>
          <w:tcPr>
            <w:tcW w:w="12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c>
          <w:tcPr>
            <w:tcW w:w="12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r>
    </w:tbl>
    <w:p>
      <w:pPr>
        <w:pStyle w:val="Style37"/>
        <w:shd w:val="clear" w:color="auto" w:fill="auto"/>
        <w:spacing w:lineRule="auto" w:line="276"/>
        <w:ind w:firstLine="709"/>
        <w:rPr>
          <w:sz w:val="26"/>
          <w:szCs w:val="26"/>
        </w:rPr>
      </w:pPr>
      <w:r>
        <w:rPr>
          <w:sz w:val="26"/>
          <w:szCs w:val="26"/>
        </w:rPr>
        <w:t>В расчетах принята среднечасовая нагрузка на ГВС</w:t>
      </w:r>
    </w:p>
    <w:p>
      <w:pPr>
        <w:sectPr>
          <w:footerReference w:type="default" r:id="rId9"/>
          <w:type w:val="nextPage"/>
          <w:pgSz w:orient="landscape" w:w="16838" w:h="11906"/>
          <w:pgMar w:left="851" w:right="851" w:gutter="0" w:header="0" w:top="1134" w:footer="709" w:bottom="766"/>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Style37"/>
        <w:shd w:val="clear" w:color="auto" w:fill="auto"/>
        <w:spacing w:lineRule="auto" w:line="276"/>
        <w:ind w:firstLine="709"/>
        <w:rPr>
          <w:sz w:val="26"/>
          <w:szCs w:val="26"/>
        </w:rPr>
      </w:pPr>
      <w:r>
        <w:rPr>
          <w:sz w:val="26"/>
          <w:szCs w:val="26"/>
        </w:rPr>
        <w:t>* Тепловая нагрузка 0,2019 Гкал/ч - потребление тепловой энергии очистными сооружениями</w:t>
      </w:r>
    </w:p>
    <w:p>
      <w:pPr>
        <w:pStyle w:val="Normal"/>
        <w:spacing w:before="240" w:after="0"/>
        <w:rPr>
          <w:rFonts w:cs="Times New Roman"/>
          <w:b/>
          <w:b/>
          <w:szCs w:val="26"/>
        </w:rPr>
      </w:pPr>
      <w:r>
        <w:rPr>
          <w:rFonts w:cs="Times New Roman"/>
          <w:b/>
          <w:szCs w:val="26"/>
        </w:rPr>
        <w:t>2.4.1. Перспективные балансы тепловой мощности и тепловой нагрузки в каждой системе теплоснабжения и зоне действия источников тепловой энергии</w:t>
      </w:r>
    </w:p>
    <w:p>
      <w:pPr>
        <w:pStyle w:val="Normal"/>
        <w:rPr>
          <w:rFonts w:ascii="Times New Roman" w:hAnsi="Times New Roman" w:cs="Times New Roman"/>
          <w:i w:val="false"/>
          <w:i w:val="false"/>
          <w:color w:val="auto"/>
          <w:szCs w:val="26"/>
        </w:rPr>
      </w:pPr>
      <w:r>
        <w:rPr/>
        <w:t>Расчетные перспективные и существующие балансы тепловой мощности источников тепловой энергии приведены в таблице 2.1.1.</w:t>
      </w:r>
    </w:p>
    <w:p>
      <w:pPr>
        <w:pStyle w:val="Normal"/>
        <w:rPr>
          <w:rFonts w:ascii="Times New Roman" w:hAnsi="Times New Roman" w:cs="Times New Roman"/>
          <w:i w:val="false"/>
          <w:i w:val="false"/>
          <w:color w:val="auto"/>
          <w:szCs w:val="26"/>
        </w:rPr>
      </w:pPr>
      <w:r>
        <w:rPr/>
        <w:t>Таблица 2.1.1. Перспективные балансы тепловой мощности источников тепловой энергии.</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609"/>
        <w:gridCol w:w="4945"/>
        <w:gridCol w:w="1648"/>
        <w:gridCol w:w="1496"/>
        <w:gridCol w:w="1507"/>
      </w:tblGrid>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Вид мощности</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Единица</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измерения</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Перспект.</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2023-2032</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Существ.</w:t>
            </w:r>
          </w:p>
        </w:tc>
      </w:tr>
      <w:tr>
        <w:trPr>
          <w:trHeight w:val="20" w:hRule="atLeast"/>
        </w:trPr>
        <w:tc>
          <w:tcPr>
            <w:tcW w:w="1020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2.2.1. Котельная №1 ул. Вокзальная, 10а:</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Установленная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7,57</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7,57</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Располагаемая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7,57</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4,5293</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Тепловая мощность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6,2941</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6,2941</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Нормативные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0,2523</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0,2523</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Фактические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0,2523</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0,2523</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5</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Присоединенная тепловая нагрузка.</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3,5625</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3,5625</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Резерв(дефицит) тепловой мощности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+2,4793</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+2,4793</w:t>
            </w:r>
          </w:p>
        </w:tc>
      </w:tr>
      <w:tr>
        <w:trPr>
          <w:trHeight w:val="20" w:hRule="atLeast"/>
        </w:trPr>
        <w:tc>
          <w:tcPr>
            <w:tcW w:w="1020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2.2.2. Котельная №2 ул. Кооперативный, 15:</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Установленная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21,1</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21,1</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Располагаемая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21,1</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21,1</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Тепловая мощность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16,946</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16,946</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Нормативные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0,9344</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0,9344</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Фактические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0,9344</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0,9344</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5</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Присоединенная тепловая нагрузка.</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13,1005</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13,1005</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Резерв(дефицит) тепловой мощности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w:t>
            </w:r>
            <w:r>
              <w:rPr/>
              <w:t>2,91</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w:t>
            </w:r>
            <w:r>
              <w:rPr/>
              <w:t>2,91</w:t>
            </w:r>
          </w:p>
        </w:tc>
      </w:tr>
      <w:tr>
        <w:trPr>
          <w:trHeight w:val="20" w:hRule="atLeast"/>
        </w:trPr>
        <w:tc>
          <w:tcPr>
            <w:tcW w:w="1020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2.2.3. Котельная №4 пос. Ойха, ул. Мира, 6к:</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Установленная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Располагаемая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0,9</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Тепловая мощность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0,82</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0,82</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Нормативные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0,1130</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0,1130</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Фактические потери тепловой</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0,1130</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0,1130</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5</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Присоединенная тепловая нагрузка.</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szCs w:val="10"/>
                <w:lang w:eastAsia="en-US" w:bidi="ar-SA"/>
              </w:rPr>
              <w:t>0,2389</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szCs w:val="10"/>
                <w:lang w:eastAsia="en-US" w:bidi="ar-SA"/>
              </w:rPr>
              <w:t>0,2389</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6</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Резерв(дефицит) тепловой мощности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szCs w:val="10"/>
                <w:lang w:eastAsia="en-US" w:bidi="ar-SA"/>
              </w:rPr>
              <w:t>+0,4681</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28"/>
                <w:lang w:eastAsia="ru-RU" w:bidi="ru-RU"/>
              </w:rPr>
            </w:pPr>
            <w:r>
              <w:rPr>
                <w:rStyle w:val="24"/>
                <w:rFonts w:eastAsia="Calibri" w:eastAsiaTheme="minorHAnsi"/>
                <w:color w:val="auto"/>
                <w:sz w:val="28"/>
              </w:rPr>
              <w:t>+</w:t>
            </w:r>
            <w:r>
              <w:rPr>
                <w:rStyle w:val="24"/>
                <w:rFonts w:eastAsia="Calibri" w:eastAsiaTheme="minorHAnsi"/>
                <w:color w:val="auto"/>
                <w:sz w:val="28"/>
                <w:szCs w:val="10"/>
                <w:lang w:eastAsia="en-US" w:bidi="ar-SA"/>
              </w:rPr>
              <w:t>0,4681</w:t>
            </w:r>
          </w:p>
        </w:tc>
      </w:tr>
      <w:tr>
        <w:trPr>
          <w:trHeight w:val="20" w:hRule="atLeast"/>
        </w:trPr>
        <w:tc>
          <w:tcPr>
            <w:tcW w:w="1020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2.2.4. Котельная №6 пос. Курагино, Очистные сооружения:</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Установленная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0,732</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0,732</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Располагаемая тепловая мощность</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0,732</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0,732</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Тепловая мощность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0,732</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0,732</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4.1</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Нормативные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0,0073</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0,0073</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4.2.</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Фактические потери тепловой мощности в тепловых сетях</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0,0073</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0,0073</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5</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Присоединенная тепловая нагрузка</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0,2296</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0,2296</w:t>
            </w:r>
          </w:p>
        </w:tc>
      </w:tr>
      <w:tr>
        <w:trPr>
          <w:trHeight w:val="20" w:hRule="atLeast"/>
        </w:trPr>
        <w:tc>
          <w:tcPr>
            <w:tcW w:w="6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w:t>
            </w:r>
          </w:p>
        </w:tc>
        <w:tc>
          <w:tcPr>
            <w:tcW w:w="49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Резерв(дефицит) тепловой мощности нетто</w:t>
            </w:r>
          </w:p>
        </w:tc>
        <w:tc>
          <w:tcPr>
            <w:tcW w:w="1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Гкал/ч</w:t>
            </w:r>
          </w:p>
        </w:tc>
        <w:tc>
          <w:tcPr>
            <w:tcW w:w="14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+0,4951</w:t>
            </w:r>
          </w:p>
        </w:tc>
        <w:tc>
          <w:tcPr>
            <w:tcW w:w="15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+0,4951</w:t>
            </w:r>
          </w:p>
        </w:tc>
      </w:tr>
    </w:tbl>
    <w:p>
      <w:pPr>
        <w:pStyle w:val="Normal"/>
        <w:rPr>
          <w:rFonts w:eastAsia="SimSun" w:cs="Times New Roman"/>
          <w:b/>
          <w:b/>
          <w:kern w:val="2"/>
          <w:szCs w:val="26"/>
          <w:lang w:eastAsia="hi-IN" w:bidi="hi-IN"/>
        </w:rPr>
      </w:pPr>
      <w:r>
        <w:rPr/>
        <w:t>Баланс мощности составлен при условии выполнении всех мероприятий по приведению тепловых потерь и теплоносителя в тепловых сетях к нормативным значениям.</w:t>
      </w:r>
    </w:p>
    <w:p>
      <w:pPr>
        <w:pStyle w:val="Normal"/>
        <w:spacing w:before="240" w:after="0"/>
        <w:rPr>
          <w:rFonts w:eastAsia="SimSun" w:cs="Times New Roman"/>
          <w:b/>
          <w:b/>
          <w:kern w:val="2"/>
          <w:szCs w:val="26"/>
          <w:lang w:eastAsia="hi-IN" w:bidi="hi-IN"/>
        </w:rPr>
      </w:pPr>
      <w:r>
        <w:rPr>
          <w:rFonts w:eastAsia="SimSun" w:cs="Times New Roman"/>
          <w:b/>
          <w:kern w:val="2"/>
          <w:szCs w:val="26"/>
          <w:lang w:eastAsia="hi-IN" w:bidi="hi-IN"/>
        </w:rPr>
        <w:t>2.4.2. 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pPr>
        <w:pStyle w:val="Normal"/>
        <w:widowControl w:val="false"/>
        <w:numPr>
          <w:ilvl w:val="0"/>
          <w:numId w:val="5"/>
        </w:numPr>
        <w:tabs>
          <w:tab w:val="clear" w:pos="708"/>
          <w:tab w:val="left" w:pos="1751" w:leader="none"/>
        </w:tabs>
        <w:rPr>
          <w:rFonts w:ascii="Times New Roman" w:hAnsi="Times New Roman" w:cs="Times New Roman"/>
          <w:i w:val="false"/>
          <w:i w:val="false"/>
          <w:color w:val="auto"/>
          <w:szCs w:val="26"/>
        </w:rPr>
      </w:pPr>
      <w:r>
        <w:rPr/>
        <w:t>Котельная №1 ул. Вокзальная, 10а:</w:t>
      </w:r>
    </w:p>
    <w:p>
      <w:pPr>
        <w:pStyle w:val="Normal"/>
        <w:rPr>
          <w:rFonts w:ascii="Times New Roman" w:hAnsi="Times New Roman" w:cs="Times New Roman"/>
          <w:i w:val="false"/>
          <w:i w:val="false"/>
          <w:color w:val="auto"/>
          <w:szCs w:val="26"/>
        </w:rPr>
      </w:pPr>
      <w:r>
        <w:rPr/>
        <w:t>Существующий баланс: Резерв тепловой мощности нетто - 2,4793 Гкал/ч. Перспективный баланс: Резерв тепловой мощности нетто - 2,4793 Гкал/ч.</w:t>
      </w:r>
    </w:p>
    <w:p>
      <w:pPr>
        <w:pStyle w:val="Normal"/>
        <w:widowControl w:val="false"/>
        <w:numPr>
          <w:ilvl w:val="0"/>
          <w:numId w:val="5"/>
        </w:numPr>
        <w:tabs>
          <w:tab w:val="clear" w:pos="708"/>
          <w:tab w:val="left" w:pos="1751" w:leader="none"/>
        </w:tabs>
        <w:rPr>
          <w:rFonts w:ascii="Times New Roman" w:hAnsi="Times New Roman" w:cs="Times New Roman"/>
          <w:i w:val="false"/>
          <w:i w:val="false"/>
          <w:color w:val="auto"/>
          <w:szCs w:val="26"/>
        </w:rPr>
      </w:pPr>
      <w:r>
        <w:rPr/>
        <w:t>Котельная №2 пер. Кооперативный, 15:</w:t>
      </w:r>
    </w:p>
    <w:p>
      <w:pPr>
        <w:pStyle w:val="Normal"/>
        <w:rPr>
          <w:rFonts w:ascii="Times New Roman" w:hAnsi="Times New Roman" w:cs="Times New Roman"/>
          <w:i w:val="false"/>
          <w:i w:val="false"/>
          <w:color w:val="auto"/>
          <w:szCs w:val="26"/>
        </w:rPr>
      </w:pPr>
      <w:r>
        <w:rPr/>
        <w:t>Существующий баланс: Резерв тепловой мощности нетто – 2,91 Гкал/ч. Перспективный баланс: Резерв тепловой мощности нетто – 2,91 Гкал/ч</w:t>
      </w:r>
    </w:p>
    <w:p>
      <w:pPr>
        <w:pStyle w:val="Normal"/>
        <w:widowControl w:val="false"/>
        <w:numPr>
          <w:ilvl w:val="0"/>
          <w:numId w:val="5"/>
        </w:numPr>
        <w:tabs>
          <w:tab w:val="clear" w:pos="708"/>
          <w:tab w:val="left" w:pos="1751" w:leader="none"/>
        </w:tabs>
        <w:rPr>
          <w:rFonts w:ascii="Times New Roman" w:hAnsi="Times New Roman" w:cs="Times New Roman"/>
          <w:i w:val="false"/>
          <w:i w:val="false"/>
          <w:color w:val="auto"/>
          <w:szCs w:val="26"/>
        </w:rPr>
      </w:pPr>
      <w:r>
        <w:rPr/>
        <w:t>Котельная №4 п. Ойха, ул. Мира, 6к:</w:t>
      </w:r>
    </w:p>
    <w:p>
      <w:pPr>
        <w:pStyle w:val="Normal"/>
        <w:rPr>
          <w:rFonts w:ascii="Times New Roman" w:hAnsi="Times New Roman" w:cs="Times New Roman"/>
          <w:i w:val="false"/>
          <w:i w:val="false"/>
          <w:color w:val="auto"/>
          <w:szCs w:val="26"/>
        </w:rPr>
      </w:pPr>
      <w:r>
        <w:rPr/>
        <w:t xml:space="preserve">Существующий баланс: Резерв тепловой мощности нетто - </w:t>
      </w:r>
      <w:r>
        <w:rPr>
          <w:rStyle w:val="24"/>
          <w:rFonts w:eastAsia="Calibri" w:eastAsiaTheme="minorHAnsi"/>
          <w:color w:val="auto"/>
          <w:sz w:val="24"/>
          <w:szCs w:val="10"/>
          <w:lang w:eastAsia="en-US" w:bidi="ar-SA"/>
        </w:rPr>
        <w:t xml:space="preserve">0,4681 </w:t>
      </w:r>
      <w:r>
        <w:rPr/>
        <w:t xml:space="preserve">Гкал/ч. Перспективный баланс: Резерв тепловой мощности нетто - </w:t>
      </w:r>
      <w:r>
        <w:rPr>
          <w:rStyle w:val="24"/>
          <w:rFonts w:eastAsia="Calibri" w:eastAsiaTheme="minorHAnsi"/>
          <w:color w:val="auto"/>
          <w:sz w:val="24"/>
          <w:szCs w:val="10"/>
          <w:lang w:eastAsia="en-US" w:bidi="ar-SA"/>
        </w:rPr>
        <w:t>0,4681</w:t>
      </w:r>
      <w:r>
        <w:rPr/>
        <w:t xml:space="preserve"> Гкал/ч</w:t>
      </w:r>
    </w:p>
    <w:p>
      <w:pPr>
        <w:pStyle w:val="Normal"/>
        <w:widowControl w:val="false"/>
        <w:numPr>
          <w:ilvl w:val="0"/>
          <w:numId w:val="5"/>
        </w:numPr>
        <w:tabs>
          <w:tab w:val="clear" w:pos="708"/>
          <w:tab w:val="left" w:pos="1751" w:leader="none"/>
        </w:tabs>
        <w:rPr>
          <w:rFonts w:ascii="Times New Roman" w:hAnsi="Times New Roman" w:cs="Times New Roman"/>
          <w:i w:val="false"/>
          <w:i w:val="false"/>
          <w:color w:val="auto"/>
          <w:szCs w:val="26"/>
        </w:rPr>
      </w:pPr>
      <w:r>
        <w:rPr/>
        <w:t>Котельная №6 п. Курагино, Очистные сооружения:</w:t>
      </w:r>
    </w:p>
    <w:p>
      <w:pPr>
        <w:pStyle w:val="Normal"/>
        <w:rPr>
          <w:rFonts w:eastAsia="SimSun" w:cs="Times New Roman"/>
          <w:b/>
          <w:b/>
          <w:kern w:val="2"/>
          <w:szCs w:val="26"/>
          <w:lang w:eastAsia="hi-IN" w:bidi="hi-IN"/>
        </w:rPr>
      </w:pPr>
      <w:r>
        <w:rPr/>
        <w:t>Существующий баланс: Резерв тепловой мощности нетто - 0,4951 Гкал/ч.</w:t>
      </w:r>
    </w:p>
    <w:p>
      <w:pPr>
        <w:pStyle w:val="Normal"/>
        <w:rPr>
          <w:rFonts w:eastAsia="SimSun" w:cs="Times New Roman"/>
          <w:kern w:val="2"/>
          <w:szCs w:val="26"/>
          <w:lang w:eastAsia="hi-IN" w:bidi="hi-IN"/>
        </w:rPr>
      </w:pPr>
      <w:r>
        <w:rPr>
          <w:rFonts w:eastAsia="SimSun" w:cs="Times New Roman"/>
          <w:kern w:val="2"/>
          <w:szCs w:val="26"/>
          <w:lang w:eastAsia="hi-IN" w:bidi="hi-IN"/>
        </w:rPr>
        <w:t>Перспективный баланс: Резерв тепловой мощности нетто – 0,4951 Гкал/ч.</w:t>
      </w:r>
    </w:p>
    <w:p>
      <w:pPr>
        <w:pStyle w:val="Normal"/>
        <w:rPr>
          <w:rFonts w:eastAsia="SimSun" w:cs="Times New Roman"/>
          <w:b/>
          <w:b/>
          <w:kern w:val="2"/>
          <w:szCs w:val="26"/>
          <w:lang w:eastAsia="hi-IN" w:bidi="hi-IN"/>
        </w:rPr>
      </w:pPr>
      <w:r>
        <w:rPr/>
        <w:t>В настоящее время в р.п. Курагино отсутствует информация о наличии выделения аварийного резерва и резерва по договорам на поддержание резервной тепловой мощности.</w:t>
      </w:r>
    </w:p>
    <w:p>
      <w:pPr>
        <w:pStyle w:val="Normal"/>
        <w:spacing w:before="240" w:after="0"/>
        <w:rPr>
          <w:rFonts w:eastAsia="SimSun" w:cs="Times New Roman"/>
          <w:b/>
          <w:b/>
          <w:kern w:val="2"/>
          <w:szCs w:val="26"/>
          <w:lang w:eastAsia="hi-IN" w:bidi="hi-IN"/>
        </w:rPr>
      </w:pPr>
      <w:r>
        <w:rPr>
          <w:rFonts w:eastAsia="SimSun" w:cs="Times New Roman"/>
          <w:b/>
          <w:kern w:val="2"/>
          <w:szCs w:val="26"/>
          <w:lang w:eastAsia="hi-IN" w:bidi="hi-IN"/>
        </w:rPr>
        <w:t>2.4.3.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сторон, и по долгосрочным договорам, в отношении которых установлен долгосрочный тариф</w:t>
      </w:r>
    </w:p>
    <w:p>
      <w:pPr>
        <w:pStyle w:val="Normal"/>
        <w:spacing w:lineRule="auto" w:line="300"/>
        <w:rPr>
          <w:rFonts w:ascii="Times New Roman" w:hAnsi="Times New Roman" w:cs="Times New Roman"/>
          <w:i w:val="false"/>
          <w:i w:val="false"/>
          <w:color w:val="auto"/>
          <w:szCs w:val="26"/>
        </w:rPr>
      </w:pPr>
      <w:r>
        <w:rPr/>
        <w:t>В настоящее время в пгт. Курагино отсутствует информация:</w:t>
      </w:r>
    </w:p>
    <w:p>
      <w:pPr>
        <w:pStyle w:val="Normal"/>
        <w:widowControl w:val="false"/>
        <w:numPr>
          <w:ilvl w:val="0"/>
          <w:numId w:val="6"/>
        </w:numPr>
        <w:tabs>
          <w:tab w:val="clear" w:pos="708"/>
          <w:tab w:val="left" w:pos="355" w:leader="none"/>
        </w:tabs>
        <w:spacing w:lineRule="auto" w:line="300"/>
        <w:rPr>
          <w:rFonts w:ascii="Times New Roman" w:hAnsi="Times New Roman" w:cs="Times New Roman"/>
          <w:i w:val="false"/>
          <w:i w:val="false"/>
          <w:color w:val="auto"/>
          <w:szCs w:val="26"/>
        </w:rPr>
      </w:pPr>
      <w:r>
        <w:rPr/>
        <w:t>о наличии долгосрочных договоров на теплоснабжение по регулируемой цене.</w:t>
      </w:r>
    </w:p>
    <w:p>
      <w:pPr>
        <w:pStyle w:val="Normal"/>
        <w:widowControl w:val="false"/>
        <w:numPr>
          <w:ilvl w:val="0"/>
          <w:numId w:val="6"/>
        </w:numPr>
        <w:tabs>
          <w:tab w:val="clear" w:pos="708"/>
          <w:tab w:val="left" w:pos="355" w:leader="none"/>
        </w:tabs>
        <w:spacing w:lineRule="auto" w:line="300"/>
        <w:rPr>
          <w:rFonts w:ascii="Times New Roman" w:hAnsi="Times New Roman" w:cs="Times New Roman"/>
          <w:i w:val="false"/>
          <w:i w:val="false"/>
          <w:color w:val="auto"/>
          <w:szCs w:val="26"/>
        </w:rPr>
      </w:pPr>
      <w:r>
        <w:rPr/>
        <w:t>о наличии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w:t>
      </w:r>
    </w:p>
    <w:p>
      <w:pPr>
        <w:pStyle w:val="Normal"/>
        <w:widowControl w:val="false"/>
        <w:numPr>
          <w:ilvl w:val="0"/>
          <w:numId w:val="6"/>
        </w:numPr>
        <w:tabs>
          <w:tab w:val="clear" w:pos="708"/>
          <w:tab w:val="left" w:pos="355" w:leader="none"/>
        </w:tabs>
        <w:spacing w:lineRule="auto" w:line="300"/>
        <w:rPr>
          <w:rFonts w:ascii="Times New Roman" w:hAnsi="Times New Roman" w:cs="Times New Roman"/>
          <w:i w:val="false"/>
          <w:i w:val="false"/>
          <w:color w:val="auto"/>
          <w:szCs w:val="26"/>
        </w:rPr>
      </w:pPr>
      <w:r>
        <w:rPr/>
        <w:t>о наличии свободных долгосрочных договорах на теплоснабжение.</w:t>
      </w:r>
    </w:p>
    <w:p>
      <w:pPr>
        <w:pStyle w:val="Normal"/>
        <w:rPr>
          <w:rFonts w:eastAsia="SimSun" w:cs="Times New Roman"/>
          <w:kern w:val="2"/>
          <w:szCs w:val="26"/>
          <w:lang w:eastAsia="hi-IN" w:bidi="hi-IN"/>
        </w:rPr>
      </w:pPr>
      <w:r>
        <w:rPr>
          <w:rFonts w:eastAsia="SimSun" w:cs="Times New Roman"/>
          <w:kern w:val="2"/>
          <w:szCs w:val="26"/>
          <w:lang w:eastAsia="hi-IN" w:bidi="hi-IN"/>
        </w:rPr>
      </w:r>
    </w:p>
    <w:p>
      <w:pPr>
        <w:pStyle w:val="Normal"/>
        <w:rPr>
          <w:rFonts w:eastAsia="SimSun" w:cs="Times New Roman"/>
          <w:kern w:val="2"/>
          <w:szCs w:val="26"/>
          <w:lang w:eastAsia="hi-IN" w:bidi="hi-IN"/>
        </w:rPr>
      </w:pPr>
      <w:r>
        <w:rPr>
          <w:rFonts w:eastAsia="SimSun" w:cs="Times New Roman"/>
          <w:kern w:val="2"/>
          <w:szCs w:val="26"/>
          <w:lang w:eastAsia="hi-IN" w:bidi="hi-IN"/>
        </w:rPr>
      </w:r>
    </w:p>
    <w:p>
      <w:pPr>
        <w:pStyle w:val="Normal"/>
        <w:ind w:hanging="0"/>
        <w:jc w:val="right"/>
        <w:rPr>
          <w:rFonts w:eastAsia="SimSun" w:cs="Times New Roman"/>
          <w:kern w:val="2"/>
          <w:szCs w:val="26"/>
          <w:lang w:eastAsia="hi-IN" w:bidi="hi-IN"/>
        </w:rPr>
      </w:pPr>
      <w:r>
        <w:rPr>
          <w:rFonts w:eastAsia="SimSun" w:cs="Times New Roman"/>
          <w:kern w:val="2"/>
          <w:szCs w:val="26"/>
          <w:lang w:eastAsia="hi-IN" w:bidi="hi-IN"/>
        </w:rPr>
      </w:r>
    </w:p>
    <w:p>
      <w:pPr>
        <w:pStyle w:val="Normal"/>
        <w:ind w:hanging="0"/>
        <w:jc w:val="right"/>
        <w:rPr>
          <w:rFonts w:eastAsia="SimSun" w:cs="Times New Roman"/>
          <w:kern w:val="2"/>
          <w:szCs w:val="26"/>
          <w:lang w:eastAsia="hi-IN" w:bidi="hi-IN"/>
        </w:rPr>
      </w:pPr>
      <w:r>
        <w:rPr>
          <w:rFonts w:eastAsia="SimSun" w:cs="Times New Roman"/>
          <w:kern w:val="2"/>
          <w:szCs w:val="26"/>
          <w:lang w:eastAsia="hi-IN" w:bidi="hi-IN"/>
        </w:rPr>
      </w:r>
    </w:p>
    <w:p>
      <w:pPr>
        <w:pStyle w:val="Normal"/>
        <w:ind w:hanging="0"/>
        <w:jc w:val="right"/>
        <w:rPr>
          <w:rFonts w:eastAsia="SimSun" w:cs="Times New Roman"/>
          <w:kern w:val="2"/>
          <w:szCs w:val="26"/>
          <w:lang w:eastAsia="hi-IN" w:bidi="hi-IN"/>
        </w:rPr>
      </w:pPr>
      <w:r>
        <w:rPr>
          <w:rFonts w:eastAsia="SimSun" w:cs="Times New Roman"/>
          <w:kern w:val="2"/>
          <w:szCs w:val="26"/>
          <w:lang w:eastAsia="hi-IN" w:bidi="hi-IN"/>
        </w:rPr>
      </w:r>
    </w:p>
    <w:p>
      <w:pPr>
        <w:pStyle w:val="1"/>
        <w:rPr>
          <w:rFonts w:ascii="Times New Roman" w:hAnsi="Times New Roman" w:cs="Times New Roman"/>
          <w:i w:val="false"/>
          <w:i w:val="false"/>
          <w:color w:val="auto"/>
          <w:szCs w:val="26"/>
        </w:rPr>
      </w:pPr>
      <w:bookmarkStart w:id="37" w:name="_Toc467665672"/>
      <w:r>
        <w:rPr/>
        <w:t>Раздел 3. Перспективные балансы теплоносителя</w:t>
      </w:r>
      <w:bookmarkEnd w:id="37"/>
    </w:p>
    <w:p>
      <w:pPr>
        <w:pStyle w:val="2"/>
        <w:rPr>
          <w:rFonts w:ascii="Times New Roman" w:hAnsi="Times New Roman" w:cs="Times New Roman"/>
          <w:i w:val="false"/>
          <w:i w:val="false"/>
          <w:color w:val="auto"/>
          <w:szCs w:val="26"/>
        </w:rPr>
      </w:pPr>
      <w:bookmarkStart w:id="38" w:name="_Toc467665673"/>
      <w:r>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8"/>
    </w:p>
    <w:p>
      <w:pPr>
        <w:pStyle w:val="Normal"/>
        <w:widowControl w:val="false"/>
        <w:numPr>
          <w:ilvl w:val="0"/>
          <w:numId w:val="7"/>
        </w:numPr>
        <w:tabs>
          <w:tab w:val="clear" w:pos="708"/>
          <w:tab w:val="left" w:pos="1506" w:leader="none"/>
        </w:tabs>
        <w:rPr>
          <w:szCs w:val="26"/>
        </w:rPr>
      </w:pPr>
      <w:r>
        <w:rPr>
          <w:szCs w:val="26"/>
        </w:rPr>
        <w:t>Согласно п. 6.16 СНиП 41-02-2003 «Тепловые сети»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pPr>
        <w:pStyle w:val="Normal"/>
        <w:rPr>
          <w:szCs w:val="26"/>
        </w:rPr>
      </w:pPr>
      <w:r>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pPr>
        <w:pStyle w:val="Normal"/>
        <w:jc w:val="center"/>
        <w:rPr>
          <w:szCs w:val="26"/>
        </w:rPr>
      </w:pPr>
      <w:r>
        <w:rPr>
          <w:rStyle w:val="25"/>
          <w:rFonts w:eastAsia="Calibri" w:eastAsiaTheme="minorHAnsi"/>
          <w:sz w:val="26"/>
          <w:szCs w:val="26"/>
        </w:rPr>
        <w:t>G</w:t>
      </w:r>
      <w:r>
        <w:rPr>
          <w:rStyle w:val="25"/>
          <w:rFonts w:eastAsia="Calibri" w:eastAsiaTheme="minorHAnsi"/>
          <w:sz w:val="26"/>
          <w:szCs w:val="26"/>
          <w:lang w:val="ru-RU"/>
        </w:rPr>
        <w:t>под=</w:t>
      </w:r>
      <w:r>
        <w:rPr>
          <w:szCs w:val="26"/>
        </w:rPr>
        <w:t>1</w:t>
      </w:r>
      <w:r>
        <w:rPr>
          <w:szCs w:val="26"/>
          <w:lang w:bidi="en-US"/>
        </w:rPr>
        <w:t>,2</w:t>
      </w:r>
      <w:r>
        <w:rPr>
          <w:szCs w:val="26"/>
          <w:lang w:val="en-US" w:bidi="en-US"/>
        </w:rPr>
        <w:t>G</w:t>
      </w:r>
      <w:r>
        <w:rPr>
          <w:szCs w:val="26"/>
          <w:vertAlign w:val="subscript"/>
          <w:lang w:bidi="en-US"/>
        </w:rPr>
        <w:t>ГВС</w:t>
      </w:r>
      <w:r>
        <w:rPr>
          <w:szCs w:val="26"/>
          <w:vertAlign w:val="subscript"/>
          <w:lang w:val="en-US" w:bidi="en-US"/>
        </w:rPr>
        <w:t>cp</w:t>
      </w:r>
      <w:r>
        <w:rPr>
          <w:szCs w:val="26"/>
          <w:lang w:bidi="en-US"/>
        </w:rPr>
        <w:t>+0,007</w:t>
      </w:r>
      <w:r>
        <w:rPr>
          <w:rStyle w:val="25"/>
          <w:rFonts w:eastAsia="Calibri" w:eastAsiaTheme="minorHAnsi"/>
          <w:sz w:val="26"/>
          <w:szCs w:val="26"/>
          <w:lang w:val="ru-RU"/>
        </w:rPr>
        <w:t>5(</w:t>
      </w:r>
      <w:r>
        <w:rPr>
          <w:rStyle w:val="25"/>
          <w:rFonts w:eastAsia="Calibri" w:eastAsiaTheme="minorHAnsi"/>
          <w:sz w:val="26"/>
          <w:szCs w:val="26"/>
        </w:rPr>
        <w:t>V</w:t>
      </w:r>
      <w:r>
        <w:rPr>
          <w:rStyle w:val="25"/>
          <w:rFonts w:eastAsia="Calibri" w:eastAsiaTheme="minorHAnsi"/>
          <w:sz w:val="26"/>
          <w:szCs w:val="26"/>
          <w:vertAlign w:val="subscript"/>
        </w:rPr>
        <w:t>mc</w:t>
      </w:r>
      <w:r>
        <w:rPr>
          <w:rStyle w:val="25"/>
          <w:rFonts w:eastAsia="Calibri" w:eastAsiaTheme="minorHAnsi"/>
          <w:sz w:val="26"/>
          <w:szCs w:val="26"/>
          <w:lang w:val="ru-RU"/>
        </w:rPr>
        <w:t xml:space="preserve">+ </w:t>
      </w:r>
      <w:r>
        <w:rPr>
          <w:rStyle w:val="25"/>
          <w:rFonts w:eastAsia="Calibri" w:eastAsiaTheme="minorHAnsi"/>
          <w:sz w:val="26"/>
          <w:szCs w:val="26"/>
        </w:rPr>
        <w:t>V</w:t>
      </w:r>
      <w:r>
        <w:rPr>
          <w:rStyle w:val="25"/>
          <w:rFonts w:eastAsia="Calibri" w:eastAsiaTheme="minorHAnsi"/>
          <w:sz w:val="26"/>
          <w:szCs w:val="26"/>
          <w:vertAlign w:val="subscript"/>
        </w:rPr>
        <w:t>om</w:t>
      </w:r>
      <w:r>
        <w:rPr>
          <w:rStyle w:val="25"/>
          <w:rFonts w:eastAsia="Calibri" w:eastAsiaTheme="minorHAnsi"/>
          <w:sz w:val="26"/>
          <w:szCs w:val="26"/>
          <w:lang w:val="ru-RU"/>
        </w:rPr>
        <w:t xml:space="preserve">+ </w:t>
      </w:r>
      <w:r>
        <w:rPr>
          <w:rStyle w:val="25"/>
          <w:rFonts w:eastAsia="Calibri" w:eastAsiaTheme="minorHAnsi"/>
          <w:sz w:val="26"/>
          <w:szCs w:val="26"/>
        </w:rPr>
        <w:t>V</w:t>
      </w:r>
      <w:r>
        <w:rPr>
          <w:rStyle w:val="25"/>
          <w:rFonts w:eastAsia="Calibri" w:eastAsiaTheme="minorHAnsi"/>
          <w:sz w:val="26"/>
          <w:szCs w:val="26"/>
          <w:vertAlign w:val="subscript"/>
        </w:rPr>
        <w:t>ee</w:t>
      </w:r>
      <w:r>
        <w:rPr>
          <w:rStyle w:val="25"/>
          <w:rFonts w:eastAsia="Calibri" w:eastAsiaTheme="minorHAnsi"/>
          <w:sz w:val="26"/>
          <w:szCs w:val="26"/>
          <w:vertAlign w:val="subscript"/>
          <w:lang w:val="ru-RU"/>
        </w:rPr>
        <w:t>н</w:t>
      </w:r>
      <w:r>
        <w:rPr>
          <w:rStyle w:val="25"/>
          <w:rFonts w:eastAsia="Calibri" w:eastAsiaTheme="minorHAnsi"/>
          <w:sz w:val="26"/>
          <w:szCs w:val="26"/>
          <w:vertAlign w:val="subscript"/>
        </w:rPr>
        <w:t>m</w:t>
      </w:r>
      <w:r>
        <w:rPr>
          <w:rStyle w:val="25"/>
          <w:rFonts w:eastAsia="Calibri" w:eastAsiaTheme="minorHAnsi"/>
          <w:sz w:val="26"/>
          <w:szCs w:val="26"/>
          <w:lang w:val="ru-RU"/>
        </w:rPr>
        <w:t xml:space="preserve">+ </w:t>
      </w:r>
      <w:r>
        <w:rPr>
          <w:rStyle w:val="25"/>
          <w:rFonts w:eastAsia="Calibri" w:eastAsiaTheme="minorHAnsi"/>
          <w:sz w:val="26"/>
          <w:szCs w:val="26"/>
          <w:lang w:val="ru-RU" w:eastAsia="ru-RU" w:bidi="ru-RU"/>
        </w:rPr>
        <w:t>У</w:t>
      </w:r>
      <w:r>
        <w:rPr>
          <w:rStyle w:val="25"/>
          <w:rFonts w:eastAsia="Calibri" w:eastAsiaTheme="minorHAnsi"/>
          <w:sz w:val="26"/>
          <w:szCs w:val="26"/>
          <w:vertAlign w:val="subscript"/>
          <w:lang w:val="ru-RU" w:eastAsia="ru-RU" w:bidi="ru-RU"/>
        </w:rPr>
        <w:t>ГВС</w:t>
      </w:r>
      <w:r>
        <w:rPr>
          <w:rStyle w:val="25"/>
          <w:rFonts w:eastAsia="Calibri" w:eastAsiaTheme="minorHAnsi"/>
          <w:sz w:val="26"/>
          <w:szCs w:val="26"/>
          <w:lang w:val="ru-RU" w:eastAsia="ru-RU" w:bidi="ru-RU"/>
        </w:rPr>
        <w:t>),</w:t>
      </w:r>
      <w:r>
        <w:rPr>
          <w:szCs w:val="26"/>
        </w:rPr>
        <w:t xml:space="preserve"> м</w:t>
      </w:r>
      <w:r>
        <w:rPr>
          <w:szCs w:val="26"/>
          <w:vertAlign w:val="superscript"/>
        </w:rPr>
        <w:t>3</w:t>
      </w:r>
      <w:r>
        <w:rPr>
          <w:szCs w:val="26"/>
        </w:rPr>
        <w:t>/ч;</w:t>
      </w:r>
    </w:p>
    <w:p>
      <w:pPr>
        <w:pStyle w:val="Normal"/>
        <w:rPr>
          <w:szCs w:val="26"/>
        </w:rPr>
      </w:pPr>
      <w:r>
        <w:rPr>
          <w:szCs w:val="26"/>
        </w:rPr>
        <w:t xml:space="preserve">где: </w:t>
      </w:r>
      <w:r>
        <w:rPr>
          <w:szCs w:val="26"/>
          <w:lang w:val="en-US"/>
        </w:rPr>
        <w:t>G</w:t>
      </w:r>
      <w:r>
        <w:rPr>
          <w:szCs w:val="26"/>
          <w:vertAlign w:val="subscript"/>
        </w:rPr>
        <w:t>ГВСср</w:t>
      </w:r>
      <w:r>
        <w:rPr>
          <w:rStyle w:val="25"/>
          <w:rFonts w:eastAsia="Calibri" w:eastAsiaTheme="minorHAnsi"/>
          <w:sz w:val="26"/>
          <w:szCs w:val="26"/>
          <w:lang w:val="ru-RU" w:eastAsia="ru-RU" w:bidi="ru-RU"/>
        </w:rPr>
        <w:t>-</w:t>
      </w:r>
      <w:r>
        <w:rPr>
          <w:szCs w:val="26"/>
        </w:rPr>
        <w:t xml:space="preserve"> расход теплоносителя на нужды горячего водоснабжения потребителей;</w:t>
      </w:r>
    </w:p>
    <w:p>
      <w:pPr>
        <w:pStyle w:val="Normal"/>
        <w:rPr>
          <w:szCs w:val="26"/>
        </w:rPr>
      </w:pPr>
      <w:r>
        <w:rPr>
          <w:rStyle w:val="25"/>
          <w:rFonts w:eastAsia="Calibri" w:eastAsiaTheme="minorHAnsi"/>
          <w:sz w:val="26"/>
          <w:szCs w:val="26"/>
        </w:rPr>
        <w:t>V</w:t>
      </w:r>
      <w:r>
        <w:rPr>
          <w:rStyle w:val="25"/>
          <w:rFonts w:eastAsia="Calibri" w:eastAsiaTheme="minorHAnsi"/>
          <w:sz w:val="26"/>
          <w:szCs w:val="26"/>
          <w:vertAlign w:val="subscript"/>
        </w:rPr>
        <w:t>mc</w:t>
      </w:r>
      <w:r>
        <w:rPr>
          <w:rStyle w:val="25"/>
          <w:rFonts w:eastAsia="Calibri" w:eastAsiaTheme="minorHAnsi"/>
          <w:sz w:val="26"/>
          <w:szCs w:val="26"/>
          <w:lang w:val="ru-RU"/>
        </w:rPr>
        <w:t xml:space="preserve">, </w:t>
      </w:r>
      <w:r>
        <w:rPr>
          <w:rStyle w:val="25"/>
          <w:rFonts w:eastAsia="Calibri" w:eastAsiaTheme="minorHAnsi"/>
          <w:sz w:val="26"/>
          <w:szCs w:val="26"/>
        </w:rPr>
        <w:t>Vow</w:t>
      </w:r>
      <w:r>
        <w:rPr>
          <w:rStyle w:val="25"/>
          <w:rFonts w:eastAsia="Calibri" w:eastAsiaTheme="minorHAnsi"/>
          <w:sz w:val="26"/>
          <w:szCs w:val="26"/>
          <w:lang w:val="ru-RU" w:eastAsia="ru-RU" w:bidi="ru-RU"/>
        </w:rPr>
        <w:t xml:space="preserve">, </w:t>
      </w:r>
      <w:r>
        <w:rPr>
          <w:rStyle w:val="25"/>
          <w:rFonts w:eastAsia="Calibri" w:eastAsiaTheme="minorHAnsi"/>
          <w:sz w:val="26"/>
          <w:szCs w:val="26"/>
        </w:rPr>
        <w:t>V</w:t>
      </w:r>
      <w:r>
        <w:rPr>
          <w:rStyle w:val="25"/>
          <w:rFonts w:eastAsia="Calibri" w:eastAsiaTheme="minorHAnsi"/>
          <w:sz w:val="26"/>
          <w:szCs w:val="26"/>
          <w:vertAlign w:val="subscript"/>
          <w:lang w:val="ru-RU"/>
        </w:rPr>
        <w:t>вент</w:t>
      </w:r>
      <w:r>
        <w:rPr>
          <w:rStyle w:val="25"/>
          <w:rFonts w:eastAsia="Calibri" w:eastAsiaTheme="minorHAnsi"/>
          <w:sz w:val="26"/>
          <w:szCs w:val="26"/>
          <w:lang w:val="ru-RU"/>
        </w:rPr>
        <w:t xml:space="preserve">, </w:t>
      </w:r>
      <w:r>
        <w:rPr>
          <w:rStyle w:val="26"/>
          <w:rFonts w:eastAsia="Calibri" w:eastAsiaTheme="minorHAnsi"/>
          <w:sz w:val="26"/>
          <w:szCs w:val="26"/>
        </w:rPr>
        <w:t>V</w:t>
      </w:r>
      <w:r>
        <w:rPr>
          <w:rStyle w:val="26"/>
          <w:rFonts w:eastAsia="Calibri" w:eastAsiaTheme="minorHAnsi"/>
          <w:sz w:val="26"/>
          <w:szCs w:val="26"/>
          <w:vertAlign w:val="subscript"/>
          <w:lang w:val="ru-RU"/>
        </w:rPr>
        <w:t>ГВС</w:t>
      </w:r>
      <w:r>
        <w:rPr>
          <w:rStyle w:val="26"/>
          <w:rFonts w:eastAsia="Calibri" w:eastAsiaTheme="minorHAnsi"/>
          <w:sz w:val="26"/>
          <w:szCs w:val="26"/>
          <w:lang w:val="ru-RU"/>
        </w:rPr>
        <w:t>~</w:t>
      </w:r>
      <w:r>
        <w:rPr>
          <w:szCs w:val="26"/>
        </w:rPr>
        <w:t>объем теплоносителя в трубопроводах в тепловых сетях, системах отопления, вентиляции и горячего водоснабжения потребителей.</w:t>
      </w:r>
    </w:p>
    <w:p>
      <w:pPr>
        <w:pStyle w:val="Normal"/>
        <w:widowControl w:val="false"/>
        <w:numPr>
          <w:ilvl w:val="0"/>
          <w:numId w:val="7"/>
        </w:numPr>
        <w:tabs>
          <w:tab w:val="clear" w:pos="708"/>
          <w:tab w:val="left" w:pos="1506" w:leader="none"/>
        </w:tabs>
        <w:rPr>
          <w:szCs w:val="26"/>
        </w:rPr>
      </w:pPr>
      <w:r>
        <w:rPr>
          <w:szCs w:val="26"/>
        </w:rPr>
        <w:t>Согласно расчетов  требуемая производительность водоподготовительных установок рассчитана с учетом приведения потерь теплоносителя в тепловых сетях к нормируемым. Требуемая производительность водоподготовительных установок указана в таблице 3.1.1.</w:t>
      </w:r>
    </w:p>
    <w:p>
      <w:pPr>
        <w:pStyle w:val="Style37"/>
        <w:shd w:val="clear" w:color="auto" w:fill="auto"/>
        <w:spacing w:lineRule="auto" w:line="276"/>
        <w:ind w:firstLine="709"/>
        <w:rPr>
          <w:sz w:val="26"/>
          <w:szCs w:val="26"/>
        </w:rPr>
      </w:pPr>
      <w:r>
        <w:rPr>
          <w:sz w:val="26"/>
          <w:szCs w:val="26"/>
        </w:rPr>
        <w:t>Таблица 3.1.1. Требуемая производительность водоподготовительных установок.</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646"/>
        <w:gridCol w:w="3236"/>
        <w:gridCol w:w="3157"/>
        <w:gridCol w:w="3165"/>
      </w:tblGrid>
      <w:tr>
        <w:trPr>
          <w:trHeight w:val="1310" w:hRule="exac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Наименование источника тепловой энергии</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8"/>
              </w:rPr>
              <w:t>Перспективный нормируемый расход подпиточной воды до 2025 года, м</w:t>
            </w:r>
            <w:r>
              <w:rPr>
                <w:rStyle w:val="24"/>
                <w:rFonts w:eastAsia="Calibri" w:eastAsiaTheme="minorHAnsi"/>
                <w:color w:val="auto"/>
                <w:sz w:val="28"/>
                <w:vertAlign w:val="superscript"/>
              </w:rPr>
              <w:t>3</w:t>
            </w:r>
            <w:r>
              <w:rPr>
                <w:rStyle w:val="24"/>
                <w:rFonts w:eastAsia="Calibri" w:eastAsiaTheme="minorHAnsi"/>
                <w:color w:val="auto"/>
                <w:sz w:val="28"/>
              </w:rPr>
              <w:t>/ч.</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8"/>
              </w:rPr>
              <w:t>Перспективный нормируемый расход подпиточной воды после 2025 года, м</w:t>
            </w:r>
            <w:r>
              <w:rPr>
                <w:rStyle w:val="24"/>
                <w:rFonts w:eastAsia="Calibri" w:eastAsiaTheme="minorHAnsi"/>
                <w:color w:val="auto"/>
                <w:sz w:val="28"/>
                <w:vertAlign w:val="superscript"/>
              </w:rPr>
              <w:t>3</w:t>
            </w:r>
            <w:r>
              <w:rPr>
                <w:rStyle w:val="24"/>
                <w:rFonts w:eastAsia="Calibri" w:eastAsiaTheme="minorHAnsi"/>
                <w:color w:val="auto"/>
                <w:sz w:val="28"/>
              </w:rPr>
              <w:t>/ч.</w:t>
            </w:r>
          </w:p>
        </w:tc>
      </w:tr>
      <w:tr>
        <w:trPr>
          <w:trHeight w:val="653" w:hRule="exac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№1 ул. Вокзальная, 10а</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5,72</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2,72</w:t>
            </w:r>
          </w:p>
        </w:tc>
      </w:tr>
      <w:tr>
        <w:trPr>
          <w:trHeight w:val="653" w:hRule="exac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ул. Кооперативный, 15</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12,2</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7,32</w:t>
            </w:r>
          </w:p>
        </w:tc>
      </w:tr>
      <w:tr>
        <w:trPr>
          <w:trHeight w:val="662" w:hRule="exac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пос. Ойха, ул. Мира, 6к</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0,89</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0,29</w:t>
            </w:r>
          </w:p>
        </w:tc>
      </w:tr>
      <w:tr>
        <w:trPr>
          <w:trHeight w:val="1314" w:hRule="atLeas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4</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№6</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пос. Курагино, Очистные сооружения</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1,09</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Style w:val="24"/>
                <w:rFonts w:eastAsia="Calibri" w:eastAsiaTheme="minorHAnsi"/>
                <w:color w:val="auto"/>
                <w:sz w:val="24"/>
              </w:rPr>
              <w:t>0,37</w:t>
            </w:r>
          </w:p>
        </w:tc>
      </w:tr>
    </w:tbl>
    <w:p>
      <w:pPr>
        <w:pStyle w:val="2"/>
        <w:rPr>
          <w:rFonts w:ascii="Times New Roman" w:hAnsi="Times New Roman" w:cs="Times New Roman"/>
          <w:i w:val="false"/>
          <w:i w:val="false"/>
          <w:color w:val="auto"/>
          <w:szCs w:val="26"/>
        </w:rPr>
      </w:pPr>
      <w:bookmarkStart w:id="39" w:name="_Toc467665674"/>
      <w:r>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9"/>
    </w:p>
    <w:p>
      <w:pPr>
        <w:pStyle w:val="Normal"/>
        <w:widowControl w:val="false"/>
        <w:numPr>
          <w:ilvl w:val="0"/>
          <w:numId w:val="8"/>
        </w:numPr>
        <w:tabs>
          <w:tab w:val="clear" w:pos="708"/>
          <w:tab w:val="left" w:pos="1456" w:leader="none"/>
        </w:tabs>
        <w:rPr>
          <w:rFonts w:ascii="Times New Roman" w:hAnsi="Times New Roman" w:cs="Times New Roman"/>
          <w:i w:val="false"/>
          <w:i w:val="false"/>
          <w:color w:val="auto"/>
          <w:szCs w:val="26"/>
        </w:rPr>
      </w:pPr>
      <w:r>
        <w:rPr/>
        <w:t>Согласно п. 6.17 СНиП 41-02-2003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pPr>
        <w:pStyle w:val="Normal"/>
        <w:widowControl w:val="false"/>
        <w:numPr>
          <w:ilvl w:val="0"/>
          <w:numId w:val="8"/>
        </w:numPr>
        <w:tabs>
          <w:tab w:val="clear" w:pos="708"/>
          <w:tab w:val="left" w:pos="1456" w:leader="none"/>
        </w:tabs>
        <w:rPr>
          <w:rFonts w:ascii="Times New Roman" w:hAnsi="Times New Roman" w:cs="Times New Roman"/>
          <w:i w:val="false"/>
          <w:i w:val="false"/>
          <w:color w:val="auto"/>
          <w:szCs w:val="26"/>
        </w:rPr>
      </w:pPr>
      <w:r>
        <w:rPr/>
        <w:t>Требуемый расход воды на аварийную подпитку  указан в таблице 3.1.1.</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646"/>
        <w:gridCol w:w="3236"/>
        <w:gridCol w:w="3157"/>
        <w:gridCol w:w="3165"/>
      </w:tblGrid>
      <w:tr>
        <w:trPr>
          <w:trHeight w:val="20" w:hRule="atLeas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37"/>
              <w:pBdr/>
              <w:shd w:val="clear" w:color="auto" w:fill="auto"/>
              <w:spacing w:lineRule="auto" w:line="276"/>
              <w:ind w:firstLine="709"/>
              <w:rPr>
                <w:rFonts w:ascii="Times New Roman" w:hAnsi="Times New Roman" w:cs="Times New Roman"/>
                <w:i w:val="false"/>
                <w:i w:val="false"/>
                <w:color w:val="auto"/>
                <w:szCs w:val="26"/>
              </w:rPr>
              <w:framePr w:w="9624" w:h="322" w:x="-1134" w:y="1" w:hSpace="0" w:vSpace="0" w:wrap="notBeside" w:vAnchor="text" w:hAnchor="text" w:hRule="exact"/>
              <w:pBdr/>
            </w:pPr>
            <w:r>
              <w:rPr/>
              <w:t>Таблица 3.1.1. Расход воды на аварийную подпитку</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Наименование источника тепловой энергии</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8"/>
              </w:rPr>
              <w:t>Перспективный расчетный расход воды на аварийную подпитку до 2025 года, м</w:t>
            </w:r>
            <w:r>
              <w:rPr>
                <w:rStyle w:val="24"/>
                <w:rFonts w:eastAsia="Calibri" w:eastAsiaTheme="minorHAnsi"/>
                <w:color w:val="auto"/>
                <w:sz w:val="28"/>
                <w:vertAlign w:val="superscript"/>
              </w:rPr>
              <w:t>3</w:t>
            </w:r>
            <w:r>
              <w:rPr>
                <w:rStyle w:val="24"/>
                <w:rFonts w:eastAsia="Calibri" w:eastAsiaTheme="minorHAnsi"/>
                <w:color w:val="auto"/>
                <w:sz w:val="28"/>
              </w:rPr>
              <w:t>/ч</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8"/>
              </w:rPr>
              <w:t>Перспективный расчетный расход воды на аварийную подпитку, после 2025, м</w:t>
            </w:r>
            <w:r>
              <w:rPr>
                <w:rStyle w:val="24"/>
                <w:rFonts w:eastAsia="Calibri" w:eastAsiaTheme="minorHAnsi"/>
                <w:color w:val="auto"/>
                <w:sz w:val="28"/>
                <w:vertAlign w:val="superscript"/>
              </w:rPr>
              <w:t>3</w:t>
            </w:r>
            <w:r>
              <w:rPr>
                <w:rStyle w:val="24"/>
                <w:rFonts w:eastAsia="Calibri" w:eastAsiaTheme="minorHAnsi"/>
                <w:color w:val="auto"/>
                <w:sz w:val="28"/>
              </w:rPr>
              <w:t>/ч</w:t>
            </w:r>
          </w:p>
        </w:tc>
      </w:tr>
      <w:tr>
        <w:trPr>
          <w:trHeight w:val="20" w:hRule="atLeas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1</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№1 ул. Вокзальная, 10а</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2,72</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2,53</w:t>
            </w:r>
          </w:p>
        </w:tc>
      </w:tr>
      <w:tr>
        <w:trPr>
          <w:trHeight w:val="20" w:hRule="atLeas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2</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№2</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ул. Кооперативный, 15</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7,32</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6,1</w:t>
            </w:r>
          </w:p>
        </w:tc>
      </w:tr>
      <w:tr>
        <w:trPr>
          <w:trHeight w:val="20" w:hRule="atLeas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3</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№4</w:t>
            </w:r>
          </w:p>
          <w:p>
            <w:pPr>
              <w:pStyle w:val="Normal"/>
              <w:widowControl w:val="false"/>
              <w:spacing w:lineRule="auto" w:line="240"/>
              <w:ind w:hanging="0"/>
              <w:jc w:val="center"/>
              <w:rPr>
                <w:rFonts w:cs="Times New Roman"/>
                <w:sz w:val="24"/>
              </w:rPr>
            </w:pPr>
            <w:r>
              <w:rPr>
                <w:rStyle w:val="24"/>
                <w:rFonts w:eastAsia="Calibri" w:eastAsiaTheme="minorHAnsi"/>
                <w:color w:val="auto"/>
                <w:sz w:val="24"/>
              </w:rPr>
              <w:t>пос. Ойха, ул. Мира, 6к</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0,29</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0,27</w:t>
            </w:r>
          </w:p>
        </w:tc>
      </w:tr>
      <w:tr>
        <w:trPr>
          <w:trHeight w:val="20" w:hRule="atLeast"/>
        </w:trPr>
        <w:tc>
          <w:tcPr>
            <w:tcW w:w="6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4</w:t>
            </w:r>
          </w:p>
        </w:tc>
        <w:tc>
          <w:tcPr>
            <w:tcW w:w="3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Котельная №6 пос. Курагино, Очистные сооружения</w:t>
            </w:r>
          </w:p>
        </w:tc>
        <w:tc>
          <w:tcPr>
            <w:tcW w:w="31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0,37</w:t>
            </w:r>
          </w:p>
        </w:tc>
        <w:tc>
          <w:tcPr>
            <w:tcW w:w="31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Style w:val="24"/>
                <w:rFonts w:eastAsia="Calibri" w:eastAsiaTheme="minorHAnsi"/>
                <w:color w:val="auto"/>
                <w:sz w:val="24"/>
              </w:rPr>
              <w:t>0,34</w:t>
            </w:r>
          </w:p>
        </w:tc>
      </w:tr>
    </w:tbl>
    <w:p>
      <w:pPr>
        <w:pStyle w:val="Normal"/>
        <w:ind w:hanging="0"/>
        <w:rPr>
          <w:rFonts w:eastAsia="" w:cs="" w:cstheme="majorBidi" w:eastAsiaTheme="majorEastAsia"/>
          <w:b/>
          <w:b/>
          <w:bCs/>
          <w:szCs w:val="28"/>
        </w:rPr>
      </w:pPr>
      <w:r>
        <w:rPr>
          <w:rFonts w:eastAsia="" w:cs="" w:cstheme="majorBidi" w:eastAsiaTheme="majorEastAsia"/>
          <w:b/>
          <w:bCs/>
          <w:szCs w:val="28"/>
        </w:rPr>
      </w:r>
    </w:p>
    <w:p>
      <w:pPr>
        <w:pStyle w:val="Normal"/>
        <w:ind w:hanging="0"/>
        <w:rPr>
          <w:rFonts w:eastAsia="" w:cs="" w:cstheme="majorBidi" w:eastAsiaTheme="majorEastAsia"/>
          <w:b/>
          <w:b/>
          <w:bCs/>
          <w:szCs w:val="28"/>
        </w:rPr>
      </w:pPr>
      <w:r>
        <w:rPr>
          <w:rFonts w:eastAsia="" w:cs="" w:cstheme="majorBidi" w:eastAsiaTheme="majorEastAsia"/>
          <w:b/>
          <w:bCs/>
          <w:szCs w:val="28"/>
        </w:rPr>
      </w:r>
      <w:r>
        <w:br w:type="page"/>
      </w:r>
    </w:p>
    <w:p>
      <w:pPr>
        <w:pStyle w:val="1"/>
        <w:rPr>
          <w:rFonts w:ascii="Times New Roman" w:hAnsi="Times New Roman" w:cs="Times New Roman"/>
          <w:i w:val="false"/>
          <w:i w:val="false"/>
          <w:color w:val="auto"/>
          <w:szCs w:val="26"/>
        </w:rPr>
      </w:pPr>
      <w:bookmarkStart w:id="40" w:name="_Toc467665675"/>
      <w:r>
        <w:rPr/>
        <w:t>Раздел 4. Предложения по строительству, реконструкции и техническому перевооружению источников тепловой энергии</w:t>
      </w:r>
      <w:bookmarkEnd w:id="40"/>
    </w:p>
    <w:p>
      <w:pPr>
        <w:pStyle w:val="2"/>
        <w:rPr>
          <w:rFonts w:ascii="Times New Roman" w:hAnsi="Times New Roman" w:cs="Times New Roman"/>
          <w:i w:val="false"/>
          <w:i w:val="false"/>
          <w:color w:val="auto"/>
          <w:szCs w:val="26"/>
        </w:rPr>
      </w:pPr>
      <w:bookmarkStart w:id="41" w:name="_Toc467665676"/>
      <w:r>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bookmarkEnd w:id="41"/>
    </w:p>
    <w:p>
      <w:pPr>
        <w:pStyle w:val="Normal"/>
        <w:rPr>
          <w:rFonts w:ascii="Times New Roman" w:hAnsi="Times New Roman" w:cs="Times New Roman"/>
          <w:i w:val="false"/>
          <w:i w:val="false"/>
          <w:color w:val="auto"/>
          <w:szCs w:val="26"/>
        </w:rPr>
      </w:pPr>
      <w:r>
        <w:rPr/>
        <w:t>На основании расчета радиуса эффективного теплоснабжения объекты:   Школа на 320 мест в мкр. р-не «Северо-восточный» рекомендуется подключить к индивидуальному источнику теплоснабжения:</w:t>
      </w:r>
    </w:p>
    <w:p>
      <w:pPr>
        <w:pStyle w:val="Normal"/>
        <w:rPr>
          <w:rFonts w:ascii="Times New Roman" w:hAnsi="Times New Roman" w:cs="Times New Roman"/>
          <w:i w:val="false"/>
          <w:i w:val="false"/>
          <w:color w:val="auto"/>
          <w:szCs w:val="26"/>
        </w:rPr>
      </w:pPr>
      <w:r>
        <w:rPr/>
        <w:t>Для подключения Школы на 320 мест в мкр. р-не «Северо-восточный» в этапе 2022-2024 гг. предлагается строительство индивидуальной котельной мощностью 0,15 Гкал/ч.</w:t>
      </w:r>
    </w:p>
    <w:p>
      <w:pPr>
        <w:pStyle w:val="2"/>
        <w:rPr>
          <w:b w:val="false"/>
          <w:b w:val="false"/>
        </w:rPr>
      </w:pPr>
      <w:bookmarkStart w:id="42" w:name="_Toc467665677"/>
      <w:r>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42"/>
    </w:p>
    <w:p>
      <w:pPr>
        <w:pStyle w:val="Normal"/>
        <w:rPr>
          <w:szCs w:val="26"/>
        </w:rPr>
      </w:pPr>
      <w:r>
        <w:rPr>
          <w:rFonts w:cs="Times New Roman"/>
          <w:szCs w:val="26"/>
        </w:rPr>
        <w:t>Подключение жилого квартала по ул. Минусинская общим строительным объемом 6893 м</w:t>
      </w:r>
      <w:r>
        <w:rPr>
          <w:rFonts w:cs="Times New Roman"/>
          <w:szCs w:val="26"/>
          <w:vertAlign w:val="superscript"/>
        </w:rPr>
        <w:t>3</w:t>
      </w:r>
      <w:r>
        <w:rPr>
          <w:rFonts w:cs="Times New Roman"/>
          <w:szCs w:val="26"/>
        </w:rPr>
        <w:t>; жилого квартала по пер. Линейный общим строительным объемом 12458 м</w:t>
      </w:r>
      <w:r>
        <w:rPr>
          <w:rFonts w:cs="Times New Roman"/>
          <w:szCs w:val="26"/>
          <w:vertAlign w:val="superscript"/>
        </w:rPr>
        <w:t>3</w:t>
      </w:r>
      <w:r>
        <w:rPr>
          <w:rFonts w:cs="Times New Roman"/>
          <w:szCs w:val="26"/>
        </w:rPr>
        <w:t xml:space="preserve"> </w:t>
      </w:r>
      <w:r>
        <w:rPr/>
        <w:t xml:space="preserve">предлагает реконструкцию котельной №2 (замена существующей насосной котловой группы, теплообменного оборудования). </w:t>
      </w:r>
    </w:p>
    <w:p>
      <w:pPr>
        <w:pStyle w:val="2"/>
        <w:rPr>
          <w:rFonts w:ascii="Times New Roman" w:hAnsi="Times New Roman" w:cs="Times New Roman"/>
          <w:i w:val="false"/>
          <w:i w:val="false"/>
          <w:color w:val="auto"/>
          <w:szCs w:val="26"/>
        </w:rPr>
      </w:pPr>
      <w:bookmarkStart w:id="43" w:name="_Toc467665678"/>
      <w:r>
        <w:rPr/>
        <w:t>4.3. Предложения по техническому перевооружению источников тепловой энергии с целью повышения эффективности работы систем теплоснабжения</w:t>
      </w:r>
      <w:bookmarkEnd w:id="43"/>
    </w:p>
    <w:p>
      <w:pPr>
        <w:pStyle w:val="Normal"/>
        <w:tabs>
          <w:tab w:val="clear" w:pos="708"/>
          <w:tab w:val="left" w:pos="2928" w:leader="none"/>
        </w:tabs>
        <w:spacing w:lineRule="exact" w:line="370" w:before="0" w:after="180"/>
        <w:ind w:firstLine="760"/>
        <w:rPr>
          <w:rFonts w:ascii="Times New Roman" w:hAnsi="Times New Roman" w:cs="Times New Roman"/>
          <w:i w:val="false"/>
          <w:i w:val="false"/>
          <w:color w:val="auto"/>
          <w:szCs w:val="26"/>
        </w:rPr>
      </w:pPr>
      <w:r>
        <w:rPr/>
        <w:t xml:space="preserve">Для устранения дефицита предлагается провести техническое перевооружение Котельной №1 ул. Вокзальная, 10 для приведения фактическая мощности к паспортной </w:t>
      </w:r>
      <w:r>
        <w:rPr>
          <w:lang w:val="en-US" w:bidi="en-US"/>
        </w:rPr>
        <w:t>Q</w:t>
      </w:r>
      <w:r>
        <w:rPr>
          <w:lang w:bidi="en-US"/>
        </w:rPr>
        <w:t xml:space="preserve">=6,75 </w:t>
      </w:r>
      <w:r>
        <w:rPr/>
        <w:t xml:space="preserve">Гкал/ч. </w:t>
      </w:r>
    </w:p>
    <w:p>
      <w:pPr>
        <w:pStyle w:val="2"/>
        <w:rPr>
          <w:b w:val="false"/>
          <w:b w:val="false"/>
        </w:rPr>
      </w:pPr>
      <w:bookmarkStart w:id="44" w:name="_Toc467665679"/>
      <w:r>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4"/>
    </w:p>
    <w:p>
      <w:pPr>
        <w:pStyle w:val="Normal"/>
        <w:rPr>
          <w:rFonts w:ascii="Times New Roman" w:hAnsi="Times New Roman" w:cs="Times New Roman"/>
          <w:i w:val="false"/>
          <w:i w:val="false"/>
          <w:color w:val="auto"/>
          <w:szCs w:val="26"/>
        </w:rPr>
      </w:pPr>
      <w:r>
        <w:rPr/>
        <w:t>Источников тепловой энергии с комбинированной выработкой тепловой и электрической энергии нет.</w:t>
      </w:r>
    </w:p>
    <w:p>
      <w:pPr>
        <w:pStyle w:val="2"/>
        <w:rPr>
          <w:rFonts w:ascii="Times New Roman" w:hAnsi="Times New Roman" w:cs="Times New Roman"/>
          <w:i w:val="false"/>
          <w:i w:val="false"/>
          <w:color w:val="auto"/>
          <w:szCs w:val="26"/>
        </w:rPr>
      </w:pPr>
      <w:bookmarkStart w:id="45" w:name="_Toc467665680"/>
      <w:r>
        <w:rPr/>
        <w:t>4.5. Меры по переоборудованию котельных в источники комбинированной выработки электрической и тепловой энергии для каждого этапа</w:t>
      </w:r>
      <w:bookmarkEnd w:id="45"/>
    </w:p>
    <w:p>
      <w:pPr>
        <w:pStyle w:val="Normal"/>
        <w:rPr>
          <w:rFonts w:ascii="Times New Roman" w:hAnsi="Times New Roman" w:cs="Times New Roman"/>
          <w:i w:val="false"/>
          <w:i w:val="false"/>
          <w:color w:val="auto"/>
          <w:szCs w:val="26"/>
        </w:rPr>
      </w:pPr>
      <w:r>
        <w:rPr/>
        <w:t>Для обеспечения перспективных тепловых нагрузок строительство источников тепловой энергии с комбинированной выработкой тепловой и электрической энергии не требуется.</w:t>
      </w:r>
    </w:p>
    <w:p>
      <w:pPr>
        <w:pStyle w:val="2"/>
        <w:rPr>
          <w:rFonts w:ascii="Times New Roman" w:hAnsi="Times New Roman" w:cs="Times New Roman"/>
          <w:i w:val="false"/>
          <w:i w:val="false"/>
          <w:color w:val="auto"/>
          <w:szCs w:val="26"/>
        </w:rPr>
      </w:pPr>
      <w:bookmarkStart w:id="46" w:name="_Toc467665681"/>
      <w:r>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bookmarkEnd w:id="46"/>
    </w:p>
    <w:p>
      <w:pPr>
        <w:pStyle w:val="Normal"/>
        <w:rPr>
          <w:rFonts w:ascii="Times New Roman" w:hAnsi="Times New Roman" w:cs="Times New Roman"/>
          <w:i w:val="false"/>
          <w:i w:val="false"/>
          <w:color w:val="auto"/>
          <w:szCs w:val="26"/>
        </w:rPr>
      </w:pPr>
      <w:r>
        <w:rPr/>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электрической.</w:t>
      </w:r>
    </w:p>
    <w:p>
      <w:pPr>
        <w:pStyle w:val="2"/>
        <w:rPr>
          <w:b w:val="false"/>
          <w:b w:val="false"/>
        </w:rPr>
      </w:pPr>
      <w:bookmarkStart w:id="47" w:name="_Toc467665682"/>
      <w:r>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47"/>
    </w:p>
    <w:p>
      <w:pPr>
        <w:pStyle w:val="Normal"/>
        <w:rPr>
          <w:szCs w:val="26"/>
        </w:rPr>
      </w:pPr>
      <w:r>
        <w:rPr>
          <w:szCs w:val="26"/>
        </w:rPr>
        <w:t>Перераспределения тепловой нагрузки потребителей тепловой энергии между источниками не предлагается.</w:t>
      </w:r>
    </w:p>
    <w:p>
      <w:pPr>
        <w:pStyle w:val="2"/>
        <w:rPr>
          <w:rFonts w:ascii="Times New Roman" w:hAnsi="Times New Roman" w:cs="Times New Roman"/>
          <w:i w:val="false"/>
          <w:i w:val="false"/>
          <w:color w:val="auto"/>
          <w:szCs w:val="26"/>
        </w:rPr>
      </w:pPr>
      <w:bookmarkStart w:id="48" w:name="_Toc467665683"/>
      <w:r>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48"/>
    </w:p>
    <w:p>
      <w:pPr>
        <w:pStyle w:val="Normal"/>
        <w:rPr>
          <w:rFonts w:ascii="Times New Roman" w:hAnsi="Times New Roman" w:cs="Times New Roman"/>
          <w:i w:val="false"/>
          <w:i w:val="false"/>
          <w:color w:val="auto"/>
          <w:szCs w:val="26"/>
        </w:rPr>
      </w:pPr>
      <w:r>
        <w:rPr/>
        <w:t>Изменение существующего температурного графика 95/70°С; на всех котельных не требуется. Нецелесообразно ввиду непосредственного подключения потребителей.</w:t>
      </w:r>
    </w:p>
    <w:p>
      <w:pPr>
        <w:pStyle w:val="2"/>
        <w:rPr>
          <w:rFonts w:ascii="Times New Roman" w:hAnsi="Times New Roman" w:cs="Times New Roman"/>
          <w:i w:val="false"/>
          <w:i w:val="false"/>
          <w:color w:val="auto"/>
          <w:szCs w:val="26"/>
        </w:rPr>
      </w:pPr>
      <w:bookmarkStart w:id="49" w:name="_Toc467665684"/>
      <w:r>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Start w:id="50" w:name="_Toc414001729"/>
      <w:bookmarkStart w:id="51" w:name="_Toc395187803"/>
      <w:bookmarkEnd w:id="49"/>
      <w:bookmarkEnd w:id="50"/>
      <w:bookmarkEnd w:id="51"/>
    </w:p>
    <w:p>
      <w:pPr>
        <w:pStyle w:val="Normal"/>
        <w:rPr>
          <w:szCs w:val="26"/>
        </w:rPr>
      </w:pPr>
      <w:r>
        <w:rPr/>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br w:type="page"/>
      </w:r>
    </w:p>
    <w:p>
      <w:pPr>
        <w:pStyle w:val="1"/>
        <w:keepLines w:val="false"/>
        <w:spacing w:before="0" w:after="0"/>
        <w:rPr>
          <w:rFonts w:eastAsia="Times New Roman" w:cs="Times New Roman"/>
          <w:color w:val="000000"/>
          <w:szCs w:val="26"/>
        </w:rPr>
      </w:pPr>
      <w:bookmarkStart w:id="52" w:name="_Toc414001741"/>
      <w:bookmarkStart w:id="53" w:name="_Toc395187813"/>
      <w:bookmarkStart w:id="54" w:name="_Toc467665685"/>
      <w:bookmarkEnd w:id="52"/>
      <w:bookmarkEnd w:id="53"/>
      <w:r>
        <w:rPr>
          <w:szCs w:val="26"/>
        </w:rPr>
        <w:t>Раздел 5. Предложения по строительству и реконструкции тепловых сетей</w:t>
      </w:r>
      <w:bookmarkEnd w:id="54"/>
    </w:p>
    <w:p>
      <w:pPr>
        <w:pStyle w:val="2"/>
        <w:rPr>
          <w:rFonts w:ascii="Times New Roman" w:hAnsi="Times New Roman" w:cs="Times New Roman"/>
          <w:i w:val="false"/>
          <w:i w:val="false"/>
          <w:color w:val="auto"/>
          <w:szCs w:val="26"/>
        </w:rPr>
      </w:pPr>
      <w:bookmarkStart w:id="55" w:name="_Toc467665686"/>
      <w:r>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55"/>
    </w:p>
    <w:p>
      <w:pPr>
        <w:pStyle w:val="Normal"/>
        <w:rPr>
          <w:rFonts w:ascii="Times New Roman" w:hAnsi="Times New Roman" w:cs="Times New Roman"/>
          <w:i w:val="false"/>
          <w:i w:val="false"/>
          <w:color w:val="auto"/>
          <w:szCs w:val="26"/>
        </w:rPr>
      </w:pPr>
      <w:r>
        <w:rPr/>
        <w:t>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отсутствия дефицита в отдельных зонах источников тепловой энергии.</w:t>
      </w:r>
    </w:p>
    <w:p>
      <w:pPr>
        <w:pStyle w:val="2"/>
        <w:rPr>
          <w:rFonts w:ascii="Times New Roman" w:hAnsi="Times New Roman" w:cs="Times New Roman"/>
          <w:i w:val="false"/>
          <w:i w:val="false"/>
          <w:color w:val="auto"/>
          <w:szCs w:val="26"/>
        </w:rPr>
      </w:pPr>
      <w:bookmarkStart w:id="56" w:name="_Toc467665687"/>
      <w:r>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56"/>
    </w:p>
    <w:p>
      <w:pPr>
        <w:pStyle w:val="Normal"/>
        <w:rPr>
          <w:rFonts w:ascii="Times New Roman" w:hAnsi="Times New Roman" w:cs="Times New Roman"/>
          <w:i w:val="false"/>
          <w:i w:val="false"/>
          <w:color w:val="auto"/>
          <w:szCs w:val="26"/>
        </w:rPr>
      </w:pPr>
      <w:r>
        <w:rPr/>
        <w:t>Для обеспечения перспективного прироста тепловой нагрузки, планируемого строительства, предлагается следующее строительство тепловых сетей:</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875"/>
        <w:gridCol w:w="3653"/>
        <w:gridCol w:w="1711"/>
        <w:gridCol w:w="3965"/>
      </w:tblGrid>
      <w:tr>
        <w:trPr>
          <w:trHeight w:val="341" w:hRule="exact"/>
        </w:trPr>
        <w:tc>
          <w:tcPr>
            <w:tcW w:w="8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w:t>
            </w:r>
          </w:p>
        </w:tc>
        <w:tc>
          <w:tcPr>
            <w:tcW w:w="3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Объекты</w:t>
            </w:r>
          </w:p>
        </w:tc>
        <w:tc>
          <w:tcPr>
            <w:tcW w:w="1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Этап</w:t>
            </w:r>
          </w:p>
        </w:tc>
        <w:tc>
          <w:tcPr>
            <w:tcW w:w="39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Мероприятия</w:t>
            </w:r>
          </w:p>
        </w:tc>
      </w:tr>
      <w:tr>
        <w:trPr>
          <w:trHeight w:val="1939" w:hRule="exact"/>
        </w:trPr>
        <w:tc>
          <w:tcPr>
            <w:tcW w:w="8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w:t>
            </w:r>
          </w:p>
        </w:tc>
        <w:tc>
          <w:tcPr>
            <w:tcW w:w="3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Жилой квартал по ул. Минусинская общим строительным объемом 6893 м</w:t>
            </w:r>
            <w:r>
              <w:rPr>
                <w:rFonts w:cs="Times New Roman"/>
                <w:sz w:val="24"/>
                <w:vertAlign w:val="superscript"/>
              </w:rPr>
              <w:t>3</w:t>
            </w:r>
          </w:p>
        </w:tc>
        <w:tc>
          <w:tcPr>
            <w:tcW w:w="1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2025-2027 гг.</w:t>
            </w:r>
          </w:p>
        </w:tc>
        <w:tc>
          <w:tcPr>
            <w:tcW w:w="39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Строительство тепловых сетей 2б=89мм Ь=450м,</w:t>
            </w:r>
          </w:p>
          <w:p>
            <w:pPr>
              <w:pStyle w:val="Normal"/>
              <w:widowControl w:val="false"/>
              <w:spacing w:lineRule="auto" w:line="240"/>
              <w:ind w:hanging="0"/>
              <w:jc w:val="center"/>
              <w:rPr>
                <w:rFonts w:cs="Times New Roman"/>
                <w:sz w:val="24"/>
              </w:rPr>
            </w:pPr>
            <w:r>
              <w:rPr>
                <w:rFonts w:cs="Times New Roman"/>
                <w:sz w:val="24"/>
              </w:rPr>
              <w:t xml:space="preserve">Строительство тепловых сетей 2б=76мм </w:t>
            </w:r>
            <w:r>
              <w:rPr>
                <w:rFonts w:cs="Times New Roman"/>
                <w:sz w:val="24"/>
                <w:lang w:val="en-US" w:bidi="en-US"/>
              </w:rPr>
              <w:t>L</w:t>
            </w:r>
            <w:r>
              <w:rPr>
                <w:rFonts w:cs="Times New Roman"/>
                <w:sz w:val="24"/>
                <w:lang w:bidi="en-US"/>
              </w:rPr>
              <w:t>=1</w:t>
            </w:r>
            <w:r>
              <w:rPr>
                <w:rFonts w:cs="Times New Roman"/>
                <w:sz w:val="24"/>
              </w:rPr>
              <w:t>10м.</w:t>
            </w:r>
          </w:p>
        </w:tc>
      </w:tr>
      <w:tr>
        <w:trPr>
          <w:trHeight w:val="1939" w:hRule="exact"/>
        </w:trPr>
        <w:tc>
          <w:tcPr>
            <w:tcW w:w="8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w:t>
            </w:r>
          </w:p>
        </w:tc>
        <w:tc>
          <w:tcPr>
            <w:tcW w:w="3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Жилой квартал по пер. Линейный общим строительным объемом 12458 м</w:t>
            </w:r>
            <w:r>
              <w:rPr>
                <w:rFonts w:cs="Times New Roman"/>
                <w:sz w:val="24"/>
                <w:vertAlign w:val="superscript"/>
              </w:rPr>
              <w:t>3</w:t>
            </w:r>
          </w:p>
        </w:tc>
        <w:tc>
          <w:tcPr>
            <w:tcW w:w="1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2026-2032 гг.</w:t>
            </w:r>
          </w:p>
        </w:tc>
        <w:tc>
          <w:tcPr>
            <w:tcW w:w="39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Строительство тепловых сетей 2б=89мм Ь=400м,</w:t>
            </w:r>
          </w:p>
          <w:p>
            <w:pPr>
              <w:pStyle w:val="Normal"/>
              <w:widowControl w:val="false"/>
              <w:spacing w:lineRule="auto" w:line="240"/>
              <w:ind w:hanging="0"/>
              <w:jc w:val="center"/>
              <w:rPr>
                <w:rFonts w:cs="Times New Roman"/>
                <w:sz w:val="24"/>
              </w:rPr>
            </w:pPr>
            <w:r>
              <w:rPr>
                <w:rFonts w:cs="Times New Roman"/>
                <w:sz w:val="24"/>
              </w:rPr>
              <w:t xml:space="preserve">Строительство тепловых сетей 2б=76мм </w:t>
            </w:r>
            <w:r>
              <w:rPr>
                <w:rFonts w:cs="Times New Roman"/>
                <w:sz w:val="24"/>
                <w:lang w:val="en-US" w:bidi="en-US"/>
              </w:rPr>
              <w:t>L</w:t>
            </w:r>
            <w:r>
              <w:rPr>
                <w:rFonts w:cs="Times New Roman"/>
                <w:sz w:val="24"/>
                <w:lang w:bidi="en-US"/>
              </w:rPr>
              <w:t>=2</w:t>
            </w:r>
            <w:r>
              <w:rPr>
                <w:rFonts w:cs="Times New Roman"/>
                <w:sz w:val="24"/>
              </w:rPr>
              <w:t>10м.</w:t>
            </w:r>
          </w:p>
        </w:tc>
      </w:tr>
    </w:tbl>
    <w:p>
      <w:pPr>
        <w:pStyle w:val="Style37"/>
        <w:shd w:val="clear" w:color="auto" w:fill="auto"/>
        <w:spacing w:lineRule="auto" w:line="276"/>
        <w:ind w:firstLine="709"/>
        <w:rPr>
          <w:sz w:val="26"/>
          <w:szCs w:val="26"/>
        </w:rPr>
      </w:pPr>
      <w:r>
        <w:rPr>
          <w:sz w:val="26"/>
          <w:szCs w:val="26"/>
        </w:rPr>
        <w:t>Строительство тепловых сетей оценивалось до геометрического центра площади планируемого строительства.</w:t>
      </w:r>
    </w:p>
    <w:p>
      <w:pPr>
        <w:pStyle w:val="2"/>
        <w:rPr>
          <w:rFonts w:ascii="Times New Roman" w:hAnsi="Times New Roman" w:cs="Times New Roman"/>
          <w:i w:val="false"/>
          <w:i w:val="false"/>
          <w:color w:val="auto"/>
          <w:szCs w:val="26"/>
        </w:rPr>
      </w:pPr>
      <w:bookmarkStart w:id="57" w:name="_Toc467665688"/>
      <w:r>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7"/>
    </w:p>
    <w:p>
      <w:pPr>
        <w:pStyle w:val="Normal"/>
        <w:rPr>
          <w:rFonts w:ascii="Times New Roman" w:hAnsi="Times New Roman" w:cs="Times New Roman"/>
          <w:i w:val="false"/>
          <w:i w:val="false"/>
          <w:color w:val="auto"/>
          <w:szCs w:val="26"/>
        </w:rPr>
      </w:pPr>
      <w:r>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pPr>
        <w:pStyle w:val="2"/>
        <w:rPr>
          <w:b w:val="false"/>
          <w:b w:val="false"/>
        </w:rPr>
      </w:pPr>
      <w:bookmarkStart w:id="58" w:name="_Toc467665689"/>
      <w:r>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bookmarkEnd w:id="58"/>
    </w:p>
    <w:p>
      <w:pPr>
        <w:pStyle w:val="Normal"/>
        <w:spacing w:lineRule="exact" w:line="370" w:before="0" w:after="180"/>
        <w:ind w:firstLine="760"/>
        <w:rPr>
          <w:rFonts w:ascii="Times New Roman" w:hAnsi="Times New Roman" w:cs="Times New Roman"/>
          <w:i w:val="false"/>
          <w:i w:val="false"/>
          <w:color w:val="auto"/>
          <w:szCs w:val="26"/>
        </w:rPr>
      </w:pPr>
      <w:r>
        <w:rPr/>
        <w:t>Для повышения эффективности функционирования системы требуется реконструкция тепловых сетей, подлежащих замене в связи с исчерпанием эксплуатационного ресурса. Участки тепловых сетей подлежащих замене в связи с исчерпанием эксплуатационного ресурса по ул. Ленина до пер. Больничный.</w:t>
      </w:r>
    </w:p>
    <w:p>
      <w:pPr>
        <w:pStyle w:val="2"/>
        <w:rPr>
          <w:b w:val="false"/>
          <w:b w:val="false"/>
        </w:rPr>
      </w:pPr>
      <w:bookmarkStart w:id="59" w:name="_Toc467665690"/>
      <w:r>
        <w:rPr/>
        <w:t>5.5.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59"/>
    </w:p>
    <w:p>
      <w:pPr>
        <w:pStyle w:val="Normal"/>
        <w:spacing w:lineRule="exact" w:line="370"/>
        <w:ind w:firstLine="760"/>
        <w:rPr>
          <w:rFonts w:ascii="Times New Roman" w:hAnsi="Times New Roman" w:cs="Times New Roman"/>
          <w:i w:val="false"/>
          <w:i w:val="false"/>
          <w:color w:val="auto"/>
          <w:szCs w:val="26"/>
        </w:rPr>
      </w:pPr>
      <w:r>
        <w:rPr/>
        <w:t>Строительство тепловых сетей, для обеспечения нормативной надежности теплоснабжения не требуется.</w:t>
      </w:r>
    </w:p>
    <w:p>
      <w:pPr>
        <w:pStyle w:val="Normal"/>
        <w:ind w:hanging="0"/>
        <w:rPr>
          <w:color w:val="FF0000"/>
          <w:szCs w:val="26"/>
        </w:rPr>
      </w:pPr>
      <w:r>
        <w:rPr>
          <w:color w:val="FF0000"/>
          <w:szCs w:val="26"/>
        </w:rPr>
      </w:r>
      <w:r>
        <w:br w:type="page"/>
      </w:r>
    </w:p>
    <w:p>
      <w:pPr>
        <w:pStyle w:val="1"/>
        <w:keepLines w:val="false"/>
        <w:spacing w:before="0" w:after="0"/>
        <w:ind w:left="709" w:hanging="0"/>
        <w:rPr>
          <w:rFonts w:eastAsia="Times New Roman" w:cs="Times New Roman"/>
          <w:color w:val="000000"/>
          <w:szCs w:val="26"/>
        </w:rPr>
      </w:pPr>
      <w:bookmarkStart w:id="60" w:name="_Toc414001741"/>
      <w:bookmarkStart w:id="61" w:name="_Toc395187813"/>
      <w:bookmarkStart w:id="62" w:name="_Toc414001747"/>
      <w:bookmarkStart w:id="63" w:name="_Toc395187818"/>
      <w:bookmarkStart w:id="64" w:name="_Toc467665691"/>
      <w:bookmarkEnd w:id="60"/>
      <w:bookmarkEnd w:id="61"/>
      <w:bookmarkEnd w:id="62"/>
      <w:bookmarkEnd w:id="63"/>
      <w:r>
        <w:rPr>
          <w:szCs w:val="26"/>
        </w:rPr>
        <w:t>Раздел 6. Перспективные топливные балансы</w:t>
      </w:r>
      <w:bookmarkEnd w:id="64"/>
    </w:p>
    <w:p>
      <w:pPr>
        <w:pStyle w:val="2"/>
        <w:rPr>
          <w:rFonts w:ascii="Times New Roman" w:hAnsi="Times New Roman" w:cs="Times New Roman"/>
          <w:i w:val="false"/>
          <w:i w:val="false"/>
          <w:color w:val="auto"/>
          <w:szCs w:val="26"/>
        </w:rPr>
      </w:pPr>
      <w:bookmarkStart w:id="65" w:name="_Toc467665692"/>
      <w:r>
        <w:rPr/>
        <w:t xml:space="preserve">6.1. Перспективные топливные балансы для каждого источника тепловой энергии, расположенного в границах поселения, </w:t>
      </w:r>
      <w:r>
        <w:rPr>
          <w:rFonts w:cs="TimesNewRoman" w:ascii="TimesNewRoman" w:hAnsi="TimesNewRoman"/>
          <w:color w:val="000000"/>
        </w:rPr>
        <w:t xml:space="preserve">городского округа </w:t>
      </w:r>
      <w:r>
        <w:rPr/>
        <w:t>по видам основного, резервного и аварийного топлива на каждом этапе</w:t>
      </w:r>
      <w:bookmarkEnd w:id="65"/>
    </w:p>
    <w:p>
      <w:pPr>
        <w:pStyle w:val="Normal"/>
        <w:rPr>
          <w:rFonts w:ascii="Times New Roman" w:hAnsi="Times New Roman" w:cs="Times New Roman"/>
          <w:i w:val="false"/>
          <w:i w:val="false"/>
          <w:color w:val="auto"/>
          <w:szCs w:val="26"/>
        </w:rPr>
      </w:pPr>
      <w:r>
        <w:rPr/>
        <w:t xml:space="preserve">Расчет по каждому существующему источнику тепловой энергии, выполнен по используемому углю марки 2БР разреза «Бородинский им. М.И.Щадова» с низшей рабочей теплотой сгорания 3958 Ккал/кг. </w:t>
      </w:r>
    </w:p>
    <w:p>
      <w:pPr>
        <w:pStyle w:val="Normal"/>
        <w:rPr>
          <w:rFonts w:ascii="Times New Roman" w:hAnsi="Times New Roman" w:cs="Times New Roman"/>
          <w:i w:val="false"/>
          <w:i w:val="false"/>
          <w:color w:val="auto"/>
          <w:szCs w:val="26"/>
        </w:rPr>
      </w:pPr>
      <w:r>
        <w:rPr/>
        <w:t>Все результаты расчетов сведены в таблицу 6.1.</w:t>
      </w:r>
    </w:p>
    <w:p>
      <w:pPr>
        <w:pStyle w:val="Style37"/>
        <w:shd w:val="clear" w:color="auto" w:fill="auto"/>
        <w:spacing w:lineRule="auto" w:line="276"/>
        <w:ind w:firstLine="709"/>
        <w:rPr>
          <w:rFonts w:ascii="Times New Roman" w:hAnsi="Times New Roman" w:cs="Times New Roman"/>
          <w:i w:val="false"/>
          <w:i w:val="false"/>
          <w:color w:val="auto"/>
          <w:szCs w:val="26"/>
        </w:rPr>
      </w:pPr>
      <w:r>
        <w:rPr/>
        <w:t>Таблица 6.1. Максимально часовые и годовые расходы основного вида топлива для зимнего, летнего и переходного периодов источников тепла.</w:t>
      </w:r>
    </w:p>
    <w:tbl>
      <w:tblPr>
        <w:tblW w:w="5000" w:type="pct"/>
        <w:jc w:val="left"/>
        <w:tblInd w:w="0" w:type="dxa"/>
        <w:tblLayout w:type="fixed"/>
        <w:tblCellMar>
          <w:top w:w="0" w:type="dxa"/>
          <w:left w:w="10" w:type="dxa"/>
          <w:bottom w:w="0" w:type="dxa"/>
          <w:right w:w="10" w:type="dxa"/>
        </w:tblCellMar>
        <w:tblLook w:firstRow="0" w:noVBand="0" w:lastRow="0" w:firstColumn="0" w:lastColumn="0" w:noHBand="0" w:val="0000"/>
      </w:tblPr>
      <w:tblGrid>
        <w:gridCol w:w="2376"/>
        <w:gridCol w:w="1545"/>
        <w:gridCol w:w="1849"/>
        <w:gridCol w:w="1424"/>
        <w:gridCol w:w="1231"/>
        <w:gridCol w:w="1779"/>
      </w:tblGrid>
      <w:tr>
        <w:trPr>
          <w:trHeight w:val="408" w:hRule="exact"/>
        </w:trPr>
        <w:tc>
          <w:tcPr>
            <w:tcW w:w="23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szCs w:val="10"/>
              </w:rPr>
            </w:pPr>
            <w:r>
              <w:rPr>
                <w:rFonts w:cs="Times New Roman"/>
                <w:sz w:val="24"/>
                <w:szCs w:val="10"/>
              </w:rPr>
            </w:r>
          </w:p>
        </w:tc>
        <w:tc>
          <w:tcPr>
            <w:tcW w:w="154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Объем</w:t>
            </w:r>
          </w:p>
          <w:p>
            <w:pPr>
              <w:pStyle w:val="Normal"/>
              <w:widowControl w:val="false"/>
              <w:spacing w:lineRule="auto" w:line="240"/>
              <w:ind w:hanging="0"/>
              <w:jc w:val="center"/>
              <w:rPr>
                <w:rFonts w:cs="Times New Roman"/>
                <w:sz w:val="24"/>
              </w:rPr>
            </w:pPr>
            <w:r>
              <w:rPr>
                <w:rFonts w:cs="Times New Roman"/>
                <w:sz w:val="24"/>
              </w:rPr>
              <w:t>выработки</w:t>
            </w:r>
          </w:p>
          <w:p>
            <w:pPr>
              <w:pStyle w:val="Normal"/>
              <w:widowControl w:val="false"/>
              <w:spacing w:lineRule="auto" w:line="240"/>
              <w:ind w:hanging="0"/>
              <w:jc w:val="center"/>
              <w:rPr>
                <w:rFonts w:cs="Times New Roman"/>
                <w:sz w:val="24"/>
              </w:rPr>
            </w:pPr>
            <w:r>
              <w:rPr>
                <w:rFonts w:cs="Times New Roman"/>
                <w:sz w:val="24"/>
              </w:rPr>
              <w:t>тепла, гкал/год</w:t>
            </w:r>
          </w:p>
        </w:tc>
        <w:tc>
          <w:tcPr>
            <w:tcW w:w="184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Максимально часовой расход, т</w:t>
            </w:r>
          </w:p>
        </w:tc>
        <w:tc>
          <w:tcPr>
            <w:tcW w:w="443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Годовые расходы периодов, т.</w:t>
            </w:r>
          </w:p>
        </w:tc>
      </w:tr>
      <w:tr>
        <w:trPr>
          <w:trHeight w:val="822" w:hRule="exact"/>
        </w:trPr>
        <w:tc>
          <w:tcPr>
            <w:tcW w:w="23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154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184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r>
          </w:p>
        </w:tc>
        <w:tc>
          <w:tcPr>
            <w:tcW w:w="14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зимний</w:t>
            </w:r>
          </w:p>
        </w:tc>
        <w:tc>
          <w:tcPr>
            <w:tcW w:w="12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летний</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переходный</w:t>
            </w:r>
          </w:p>
        </w:tc>
      </w:tr>
      <w:tr>
        <w:trPr>
          <w:trHeight w:val="331" w:hRule="exact"/>
        </w:trPr>
        <w:tc>
          <w:tcPr>
            <w:tcW w:w="23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Котельная №1</w:t>
            </w:r>
          </w:p>
        </w:tc>
        <w:tc>
          <w:tcPr>
            <w:tcW w:w="1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11767,04</w:t>
            </w:r>
          </w:p>
        </w:tc>
        <w:tc>
          <w:tcPr>
            <w:tcW w:w="1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1,33</w:t>
            </w:r>
          </w:p>
        </w:tc>
        <w:tc>
          <w:tcPr>
            <w:tcW w:w="14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2780,96</w:t>
            </w:r>
          </w:p>
        </w:tc>
        <w:tc>
          <w:tcPr>
            <w:tcW w:w="12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130,53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2763,93</w:t>
            </w:r>
          </w:p>
        </w:tc>
      </w:tr>
      <w:tr>
        <w:trPr>
          <w:trHeight w:val="336" w:hRule="exact"/>
        </w:trPr>
        <w:tc>
          <w:tcPr>
            <w:tcW w:w="23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Котельная №2</w:t>
            </w:r>
          </w:p>
        </w:tc>
        <w:tc>
          <w:tcPr>
            <w:tcW w:w="1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33687,24</w:t>
            </w:r>
          </w:p>
        </w:tc>
        <w:tc>
          <w:tcPr>
            <w:tcW w:w="1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3,47</w:t>
            </w:r>
          </w:p>
        </w:tc>
        <w:tc>
          <w:tcPr>
            <w:tcW w:w="14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7284,42</w:t>
            </w:r>
          </w:p>
        </w:tc>
        <w:tc>
          <w:tcPr>
            <w:tcW w:w="12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6887,6</w:t>
            </w:r>
          </w:p>
        </w:tc>
      </w:tr>
      <w:tr>
        <w:trPr>
          <w:trHeight w:val="331" w:hRule="exact"/>
        </w:trPr>
        <w:tc>
          <w:tcPr>
            <w:tcW w:w="23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Котельная №4</w:t>
            </w:r>
          </w:p>
        </w:tc>
        <w:tc>
          <w:tcPr>
            <w:tcW w:w="1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1332,07</w:t>
            </w:r>
          </w:p>
        </w:tc>
        <w:tc>
          <w:tcPr>
            <w:tcW w:w="1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0,124</w:t>
            </w:r>
          </w:p>
        </w:tc>
        <w:tc>
          <w:tcPr>
            <w:tcW w:w="14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261,33</w:t>
            </w:r>
          </w:p>
        </w:tc>
        <w:tc>
          <w:tcPr>
            <w:tcW w:w="12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247,1</w:t>
            </w:r>
          </w:p>
        </w:tc>
      </w:tr>
      <w:tr>
        <w:trPr>
          <w:trHeight w:val="331" w:hRule="exact"/>
        </w:trPr>
        <w:tc>
          <w:tcPr>
            <w:tcW w:w="23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Котельная №6</w:t>
            </w:r>
          </w:p>
        </w:tc>
        <w:tc>
          <w:tcPr>
            <w:tcW w:w="1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610,96</w:t>
            </w:r>
          </w:p>
        </w:tc>
        <w:tc>
          <w:tcPr>
            <w:tcW w:w="1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0,076</w:t>
            </w:r>
          </w:p>
        </w:tc>
        <w:tc>
          <w:tcPr>
            <w:tcW w:w="14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160,41</w:t>
            </w:r>
          </w:p>
        </w:tc>
        <w:tc>
          <w:tcPr>
            <w:tcW w:w="12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cs="Times New Roman"/>
                <w:sz w:val="24"/>
              </w:rPr>
            </w:pPr>
            <w:r>
              <w:rPr>
                <w:rFonts w:cs="Times New Roman"/>
                <w:sz w:val="24"/>
              </w:rPr>
              <w:t>151,67</w:t>
            </w:r>
          </w:p>
        </w:tc>
      </w:tr>
    </w:tbl>
    <w:p>
      <w:pPr>
        <w:pStyle w:val="Normal"/>
        <w:rPr>
          <w:rFonts w:ascii="Times New Roman" w:hAnsi="Times New Roman" w:cs="Times New Roman"/>
          <w:i w:val="false"/>
          <w:i w:val="false"/>
          <w:color w:val="auto"/>
          <w:szCs w:val="26"/>
        </w:rPr>
      </w:pPr>
      <w:r>
        <w:rPr/>
      </w:r>
    </w:p>
    <w:p>
      <w:pPr>
        <w:sectPr>
          <w:footerReference w:type="default" r:id="rId10"/>
          <w:type w:val="nextPage"/>
          <w:pgSz w:w="11906" w:h="16838"/>
          <w:pgMar w:left="1134" w:right="567" w:gutter="0" w:header="0" w:top="851" w:footer="709"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rPr>
          <w:rFonts w:ascii="Times New Roman" w:hAnsi="Times New Roman" w:cs="Times New Roman"/>
          <w:i w:val="false"/>
          <w:i w:val="false"/>
          <w:color w:val="auto"/>
          <w:szCs w:val="26"/>
        </w:rPr>
      </w:pPr>
      <w:r>
        <w:rPr/>
        <w:t>Аварийное топливо согласно топливным режимам источников теплоснабжения не предусмотрено (не предусматривается - для перспективного).</w:t>
      </w:r>
    </w:p>
    <w:p>
      <w:pPr>
        <w:pStyle w:val="1"/>
        <w:keepLines w:val="false"/>
        <w:spacing w:before="0" w:after="0"/>
        <w:rPr>
          <w:rFonts w:eastAsia="Times New Roman" w:cs="Times New Roman"/>
          <w:color w:val="000000"/>
          <w:szCs w:val="26"/>
        </w:rPr>
      </w:pPr>
      <w:bookmarkStart w:id="66" w:name="_Toc414001747"/>
      <w:bookmarkStart w:id="67" w:name="_Toc395187818"/>
      <w:bookmarkStart w:id="68" w:name="_Toc414001749"/>
      <w:bookmarkStart w:id="69" w:name="_Toc395187820"/>
      <w:bookmarkStart w:id="70" w:name="_Toc467665693"/>
      <w:bookmarkEnd w:id="66"/>
      <w:bookmarkEnd w:id="67"/>
      <w:bookmarkEnd w:id="68"/>
      <w:bookmarkEnd w:id="69"/>
      <w:r>
        <w:rPr>
          <w:szCs w:val="26"/>
        </w:rPr>
        <w:t>Раздел 7. Инвестиции в строительство, реконструкцию и техническое перевооружение</w:t>
      </w:r>
      <w:bookmarkEnd w:id="70"/>
    </w:p>
    <w:p>
      <w:pPr>
        <w:pStyle w:val="2"/>
        <w:rPr>
          <w:rFonts w:ascii="Times New Roman" w:hAnsi="Times New Roman" w:cs="Times New Roman"/>
          <w:i w:val="false"/>
          <w:i w:val="false"/>
          <w:color w:val="auto"/>
          <w:szCs w:val="26"/>
        </w:rPr>
      </w:pPr>
      <w:bookmarkStart w:id="71" w:name="_Toc467665694"/>
      <w:r>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71"/>
    </w:p>
    <w:p>
      <w:pPr>
        <w:sectPr>
          <w:footerReference w:type="default" r:id="rId11"/>
          <w:type w:val="nextPage"/>
          <w:pgSz w:w="11906" w:h="16838"/>
          <w:pgMar w:left="1134" w:right="567" w:gutter="0" w:header="0" w:top="851" w:footer="709"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spacing w:lineRule="exact" w:line="370"/>
        <w:ind w:firstLine="740"/>
        <w:jc w:val="left"/>
        <w:rPr>
          <w:rFonts w:ascii="Times New Roman" w:hAnsi="Times New Roman" w:cs="Times New Roman"/>
          <w:i w:val="false"/>
          <w:i w:val="false"/>
          <w:color w:val="auto"/>
          <w:szCs w:val="26"/>
        </w:rPr>
      </w:pPr>
      <w:r>
        <w:rPr/>
        <w:t>Инвестиции в строительство, реконструкцию и техническое перевооружение источников тепловой определены согласно действующих на момент разработки схемы прайсов и коммерческих предложений и внесены в таблицу 7.1.</w:t>
      </w:r>
    </w:p>
    <w:p>
      <w:pPr>
        <w:pStyle w:val="Normal"/>
        <w:ind w:hanging="0"/>
        <w:rPr>
          <w:rFonts w:eastAsia="Times New Roman" w:cs="Times New Roman"/>
          <w:sz w:val="28"/>
          <w:szCs w:val="28"/>
        </w:rPr>
      </w:pPr>
      <w:r>
        <w:rPr>
          <w:rFonts w:eastAsia="Times New Roman" w:cs="Times New Roman"/>
          <w:sz w:val="28"/>
          <w:szCs w:val="28"/>
        </w:rPr>
      </w:r>
    </w:p>
    <w:p>
      <w:pPr>
        <w:pStyle w:val="Style37"/>
        <w:shd w:val="clear" w:color="auto" w:fill="auto"/>
        <w:spacing w:lineRule="auto" w:line="276"/>
        <w:ind w:firstLine="709"/>
        <w:rPr>
          <w:rFonts w:ascii="Times New Roman" w:hAnsi="Times New Roman" w:cs="Times New Roman"/>
          <w:i w:val="false"/>
          <w:i w:val="false"/>
          <w:color w:val="auto"/>
          <w:szCs w:val="26"/>
        </w:rPr>
      </w:pPr>
      <w:r>
        <w:rPr/>
        <w:t>Таблица 7.1. Необходимые инвестиции в строительство, реконструкцию и техническое перевооружение источников тепловой энергии на каждом этапе</w:t>
      </w:r>
    </w:p>
    <w:tbl>
      <w:tblPr>
        <w:tblW w:w="15259" w:type="dxa"/>
        <w:jc w:val="left"/>
        <w:tblInd w:w="93" w:type="dxa"/>
        <w:tblLayout w:type="fixed"/>
        <w:tblCellMar>
          <w:top w:w="0" w:type="dxa"/>
          <w:left w:w="108" w:type="dxa"/>
          <w:bottom w:w="0" w:type="dxa"/>
          <w:right w:w="108" w:type="dxa"/>
        </w:tblCellMar>
        <w:tblLook w:firstRow="1" w:noVBand="1" w:lastRow="0" w:firstColumn="1" w:lastColumn="0" w:noHBand="0" w:val="04a0"/>
      </w:tblPr>
      <w:tblGrid>
        <w:gridCol w:w="720"/>
        <w:gridCol w:w="2513"/>
        <w:gridCol w:w="111"/>
        <w:gridCol w:w="2503"/>
        <w:gridCol w:w="1512"/>
        <w:gridCol w:w="459"/>
        <w:gridCol w:w="458"/>
        <w:gridCol w:w="459"/>
        <w:gridCol w:w="460"/>
        <w:gridCol w:w="459"/>
        <w:gridCol w:w="459"/>
        <w:gridCol w:w="458"/>
        <w:gridCol w:w="459"/>
        <w:gridCol w:w="460"/>
        <w:gridCol w:w="459"/>
        <w:gridCol w:w="1543"/>
        <w:gridCol w:w="1763"/>
      </w:tblGrid>
      <w:tr>
        <w:trPr>
          <w:trHeight w:val="1365" w:hRule="atLeast"/>
        </w:trPr>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 xml:space="preserve">№ </w:t>
            </w:r>
            <w:r>
              <w:rPr>
                <w:rFonts w:eastAsia="Times New Roman" w:cs="Times New Roman"/>
                <w:color w:val="000000"/>
                <w:sz w:val="22"/>
                <w:lang w:eastAsia="ru-RU"/>
              </w:rPr>
              <w:t>п/п</w:t>
            </w:r>
          </w:p>
        </w:tc>
        <w:tc>
          <w:tcPr>
            <w:tcW w:w="251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Наименование мероприятия</w:t>
            </w:r>
          </w:p>
        </w:tc>
        <w:tc>
          <w:tcPr>
            <w:tcW w:w="2614"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Цели реализации мероприятия</w:t>
            </w:r>
          </w:p>
        </w:tc>
        <w:tc>
          <w:tcPr>
            <w:tcW w:w="1512"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Финансовые потребности всего, тыс. руб.</w:t>
            </w:r>
          </w:p>
        </w:tc>
        <w:tc>
          <w:tcPr>
            <w:tcW w:w="4590"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Реализация мероприятий по годам, тыс.руб.</w:t>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Срок ввода мощностей в эксплуатацию</w:t>
            </w:r>
          </w:p>
        </w:tc>
        <w:tc>
          <w:tcPr>
            <w:tcW w:w="176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Срок вывода мощностей из эксплуатации</w:t>
            </w:r>
          </w:p>
        </w:tc>
      </w:tr>
      <w:tr>
        <w:trPr>
          <w:trHeight w:val="283" w:hRule="atLeast"/>
        </w:trPr>
        <w:tc>
          <w:tcPr>
            <w:tcW w:w="15255" w:type="dxa"/>
            <w:gridSpan w:val="17"/>
            <w:tcBorders>
              <w:top w:val="single" w:sz="4" w:space="0" w:color="000000"/>
              <w:left w:val="single" w:sz="4" w:space="0" w:color="000000"/>
              <w:bottom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1.Котельная, адрес объекта: Красноярский край, Курагинский район, р.п. Курагино, пер.Кооперативный, 15</w:t>
            </w:r>
          </w:p>
        </w:tc>
      </w:tr>
      <w:tr>
        <w:trPr>
          <w:trHeight w:val="300" w:hRule="atLeast"/>
        </w:trPr>
        <w:tc>
          <w:tcPr>
            <w:tcW w:w="720"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w:t>
            </w:r>
          </w:p>
        </w:tc>
        <w:tc>
          <w:tcPr>
            <w:tcW w:w="2624" w:type="dxa"/>
            <w:gridSpan w:val="2"/>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w:t>
            </w:r>
          </w:p>
        </w:tc>
        <w:tc>
          <w:tcPr>
            <w:tcW w:w="2503"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3</w:t>
            </w:r>
          </w:p>
        </w:tc>
        <w:tc>
          <w:tcPr>
            <w:tcW w:w="1512"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4</w:t>
            </w:r>
          </w:p>
        </w:tc>
        <w:tc>
          <w:tcPr>
            <w:tcW w:w="4590" w:type="dxa"/>
            <w:gridSpan w:val="10"/>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5</w:t>
            </w:r>
          </w:p>
        </w:tc>
        <w:tc>
          <w:tcPr>
            <w:tcW w:w="1543"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6</w:t>
            </w:r>
          </w:p>
        </w:tc>
        <w:tc>
          <w:tcPr>
            <w:tcW w:w="1763"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7</w:t>
            </w:r>
          </w:p>
        </w:tc>
      </w:tr>
      <w:tr>
        <w:trPr>
          <w:trHeight w:val="493" w:hRule="atLeast"/>
        </w:trPr>
        <w:tc>
          <w:tcPr>
            <w:tcW w:w="720"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2624" w:type="dxa"/>
            <w:gridSpan w:val="2"/>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2503"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1512"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2022</w:t>
            </w:r>
          </w:p>
        </w:tc>
        <w:tc>
          <w:tcPr>
            <w:tcW w:w="458"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2023</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2024</w:t>
            </w:r>
          </w:p>
        </w:tc>
        <w:tc>
          <w:tcPr>
            <w:tcW w:w="4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2025</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2026</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2027</w:t>
            </w:r>
          </w:p>
        </w:tc>
        <w:tc>
          <w:tcPr>
            <w:tcW w:w="458"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2028</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2029</w:t>
            </w:r>
          </w:p>
        </w:tc>
        <w:tc>
          <w:tcPr>
            <w:tcW w:w="4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2030</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2031</w:t>
            </w:r>
          </w:p>
        </w:tc>
        <w:tc>
          <w:tcPr>
            <w:tcW w:w="1543"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1763"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r>
      <w:tr>
        <w:trPr>
          <w:trHeight w:val="1310" w:hRule="atLeast"/>
        </w:trPr>
        <w:tc>
          <w:tcPr>
            <w:tcW w:w="720"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c>
          <w:tcPr>
            <w:tcW w:w="2624" w:type="dxa"/>
            <w:gridSpan w:val="2"/>
            <w:tcBorders>
              <w:bottom w:val="single" w:sz="4" w:space="0" w:color="000000"/>
              <w:right w:val="single" w:sz="4" w:space="0" w:color="000000"/>
            </w:tcBorders>
            <w:shd w:color="auto" w:fill="auto" w:val="clear"/>
            <w:vAlign w:val="center"/>
          </w:tcPr>
          <w:p>
            <w:pPr>
              <w:pStyle w:val="Normal"/>
              <w:widowControl w:val="false"/>
              <w:spacing w:lineRule="auto" w:line="240"/>
              <w:ind w:hanging="0"/>
              <w:jc w:val="left"/>
              <w:rPr>
                <w:rFonts w:eastAsia="Times New Roman" w:cs="Times New Roman"/>
                <w:color w:val="000000"/>
                <w:sz w:val="20"/>
                <w:szCs w:val="20"/>
                <w:lang w:eastAsia="ru-RU"/>
              </w:rPr>
            </w:pPr>
            <w:r>
              <w:rPr>
                <w:rFonts w:eastAsia="Times New Roman" w:cs="Times New Roman"/>
                <w:color w:val="000000"/>
                <w:sz w:val="20"/>
                <w:szCs w:val="20"/>
                <w:lang w:eastAsia="ru-RU"/>
              </w:rPr>
              <w:t>Замена котлоагрегата №3 марки КВ-5-02М мощностью 5 Гкал/час на буром угле на КВМ-6,0 МВт (5,1 гкал/час) на буром угле</w:t>
            </w:r>
          </w:p>
        </w:tc>
        <w:tc>
          <w:tcPr>
            <w:tcW w:w="250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Увеличение КПД, повышение теплопроизводительности, увеличение срока эксплуатации.</w:t>
            </w:r>
          </w:p>
        </w:tc>
        <w:tc>
          <w:tcPr>
            <w:tcW w:w="1512"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5 249.99</w:t>
            </w:r>
          </w:p>
        </w:tc>
        <w:tc>
          <w:tcPr>
            <w:tcW w:w="459"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8"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9" w:type="dxa"/>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60" w:type="dxa"/>
            <w:tcBorders>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337.50</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1 011.67</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835.83</w:t>
            </w:r>
          </w:p>
        </w:tc>
        <w:tc>
          <w:tcPr>
            <w:tcW w:w="458"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1 085.83</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1 145.83</w:t>
            </w:r>
          </w:p>
        </w:tc>
        <w:tc>
          <w:tcPr>
            <w:tcW w:w="4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833.33</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154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31.12.2030</w:t>
            </w:r>
          </w:p>
        </w:tc>
        <w:tc>
          <w:tcPr>
            <w:tcW w:w="176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r>
        <w:trPr>
          <w:trHeight w:val="1187" w:hRule="atLeast"/>
        </w:trPr>
        <w:tc>
          <w:tcPr>
            <w:tcW w:w="720"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1.2</w:t>
            </w:r>
          </w:p>
        </w:tc>
        <w:tc>
          <w:tcPr>
            <w:tcW w:w="2624" w:type="dxa"/>
            <w:gridSpan w:val="2"/>
            <w:tcBorders>
              <w:bottom w:val="single" w:sz="4" w:space="0" w:color="000000"/>
              <w:right w:val="single" w:sz="4" w:space="0" w:color="000000"/>
            </w:tcBorders>
            <w:shd w:color="auto" w:fill="auto" w:val="clear"/>
            <w:vAlign w:val="center"/>
          </w:tcPr>
          <w:p>
            <w:pPr>
              <w:pStyle w:val="Normal"/>
              <w:widowControl w:val="false"/>
              <w:spacing w:lineRule="auto" w:line="240"/>
              <w:ind w:hanging="0"/>
              <w:jc w:val="left"/>
              <w:rPr>
                <w:rFonts w:eastAsia="Times New Roman" w:cs="Times New Roman"/>
                <w:color w:val="000000"/>
                <w:sz w:val="20"/>
                <w:szCs w:val="20"/>
                <w:lang w:eastAsia="ru-RU"/>
              </w:rPr>
            </w:pPr>
            <w:r>
              <w:rPr>
                <w:rFonts w:eastAsia="Times New Roman" w:cs="Times New Roman"/>
                <w:color w:val="000000"/>
                <w:sz w:val="20"/>
                <w:szCs w:val="20"/>
                <w:lang w:eastAsia="ru-RU"/>
              </w:rPr>
              <w:t>Установка преобразователей частоты VR100-93/110T4 управления сетевыми насосами №1 и №2 (2 шт.)</w:t>
            </w:r>
          </w:p>
        </w:tc>
        <w:tc>
          <w:tcPr>
            <w:tcW w:w="250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Экономия электроэнергии, увеличение срока службы основного сетевого оборудования.</w:t>
            </w:r>
          </w:p>
        </w:tc>
        <w:tc>
          <w:tcPr>
            <w:tcW w:w="1512"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416.67</w:t>
            </w:r>
          </w:p>
        </w:tc>
        <w:tc>
          <w:tcPr>
            <w:tcW w:w="459"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8"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416.67</w:t>
            </w:r>
          </w:p>
        </w:tc>
        <w:tc>
          <w:tcPr>
            <w:tcW w:w="4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8"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154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31.12.2024</w:t>
            </w:r>
          </w:p>
        </w:tc>
        <w:tc>
          <w:tcPr>
            <w:tcW w:w="176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r>
        <w:trPr>
          <w:trHeight w:val="902" w:hRule="atLeast"/>
        </w:trPr>
        <w:tc>
          <w:tcPr>
            <w:tcW w:w="720"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1.3</w:t>
            </w:r>
          </w:p>
        </w:tc>
        <w:tc>
          <w:tcPr>
            <w:tcW w:w="2624" w:type="dxa"/>
            <w:gridSpan w:val="2"/>
            <w:tcBorders>
              <w:bottom w:val="single" w:sz="4" w:space="0" w:color="000000"/>
              <w:right w:val="single" w:sz="4" w:space="0" w:color="000000"/>
            </w:tcBorders>
            <w:shd w:color="auto" w:fill="auto" w:val="clear"/>
            <w:vAlign w:val="center"/>
          </w:tcPr>
          <w:p>
            <w:pPr>
              <w:pStyle w:val="Normal"/>
              <w:widowControl w:val="false"/>
              <w:spacing w:lineRule="auto" w:line="240"/>
              <w:ind w:hanging="0"/>
              <w:jc w:val="left"/>
              <w:rPr>
                <w:rFonts w:eastAsia="Times New Roman" w:cs="Times New Roman"/>
                <w:color w:val="000000"/>
                <w:sz w:val="20"/>
                <w:szCs w:val="20"/>
                <w:lang w:eastAsia="ru-RU"/>
              </w:rPr>
            </w:pPr>
            <w:r>
              <w:rPr>
                <w:rFonts w:eastAsia="Times New Roman" w:cs="Times New Roman"/>
                <w:color w:val="000000"/>
                <w:sz w:val="20"/>
                <w:szCs w:val="20"/>
                <w:lang w:eastAsia="ru-RU"/>
              </w:rPr>
              <w:t>Установка дизельной электростанции  АД-300-Т-400</w:t>
            </w:r>
          </w:p>
        </w:tc>
        <w:tc>
          <w:tcPr>
            <w:tcW w:w="250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Обеспечение электрооборудования котельной резервным источником питания</w:t>
            </w:r>
          </w:p>
        </w:tc>
        <w:tc>
          <w:tcPr>
            <w:tcW w:w="1512"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1 833.33</w:t>
            </w:r>
          </w:p>
        </w:tc>
        <w:tc>
          <w:tcPr>
            <w:tcW w:w="459" w:type="dxa"/>
            <w:tcBorders>
              <w:top w:val="single" w:sz="4" w:space="0" w:color="000000"/>
              <w:bottom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690.00</w:t>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666.67</w:t>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476.66</w:t>
            </w:r>
          </w:p>
        </w:tc>
        <w:tc>
          <w:tcPr>
            <w:tcW w:w="459" w:type="dxa"/>
            <w:tcBorders>
              <w:top w:val="single" w:sz="4" w:space="0" w:color="000000"/>
              <w:bottom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31.12.2026</w:t>
            </w:r>
          </w:p>
        </w:tc>
        <w:tc>
          <w:tcPr>
            <w:tcW w:w="1763" w:type="dxa"/>
            <w:tcBorders>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r>
        <w:trPr>
          <w:trHeight w:val="2107" w:hRule="atLeast"/>
        </w:trPr>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1.4</w:t>
            </w:r>
          </w:p>
        </w:tc>
        <w:tc>
          <w:tcPr>
            <w:tcW w:w="2624"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ind w:firstLine="32"/>
              <w:rPr>
                <w:rFonts w:ascii="YS Text" w:hAnsi="YS Text" w:eastAsia="Times New Roman" w:cs="Times New Roman"/>
                <w:color w:val="1A1A1A"/>
                <w:sz w:val="23"/>
                <w:szCs w:val="23"/>
                <w:lang w:eastAsia="ru-RU"/>
              </w:rPr>
            </w:pPr>
            <w:r>
              <w:rPr>
                <w:rFonts w:eastAsia="Times New Roman" w:cs="Times New Roman"/>
                <w:color w:val="000000"/>
                <w:sz w:val="20"/>
                <w:szCs w:val="20"/>
                <w:lang w:eastAsia="ru-RU"/>
              </w:rPr>
              <w:t xml:space="preserve">Установка дополнительного циркуляционного насоса котлового контура марки 1Д315-71 в комплекте с преобразователем частоты </w:t>
            </w:r>
            <w:r>
              <w:rPr>
                <w:rFonts w:eastAsia="Times New Roman" w:cs="Times New Roman" w:ascii="YS Text" w:hAnsi="YS Text"/>
                <w:color w:val="1A1A1A"/>
                <w:sz w:val="23"/>
                <w:szCs w:val="23"/>
                <w:lang w:eastAsia="ru-RU"/>
              </w:rPr>
              <w:t>EN500-4T1100G/1320P</w:t>
            </w:r>
          </w:p>
          <w:p>
            <w:pPr>
              <w:pStyle w:val="Normal"/>
              <w:widowControl w:val="false"/>
              <w:shd w:val="clear" w:color="auto" w:fill="FFFFFF"/>
              <w:spacing w:lineRule="auto" w:line="240"/>
              <w:ind w:hanging="0"/>
              <w:jc w:val="left"/>
              <w:rPr>
                <w:rFonts w:ascii="YS Text" w:hAnsi="YS Text" w:eastAsia="Times New Roman" w:cs="Times New Roman"/>
                <w:color w:val="1A1A1A"/>
                <w:sz w:val="23"/>
                <w:szCs w:val="23"/>
                <w:lang w:eastAsia="ru-RU"/>
              </w:rPr>
            </w:pPr>
            <w:r>
              <w:rPr>
                <w:rFonts w:eastAsia="Times New Roman" w:cs="Times New Roman" w:ascii="YS Text" w:hAnsi="YS Text"/>
                <w:color w:val="1A1A1A"/>
                <w:sz w:val="23"/>
                <w:szCs w:val="23"/>
                <w:lang w:eastAsia="ru-RU"/>
              </w:rPr>
              <w:t>(110/132кВт 380В)</w:t>
            </w:r>
          </w:p>
          <w:p>
            <w:pPr>
              <w:pStyle w:val="Normal"/>
              <w:widowControl w:val="false"/>
              <w:spacing w:lineRule="auto" w:line="240"/>
              <w:ind w:hanging="0"/>
              <w:jc w:val="left"/>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250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Увеличение КПД, повышение теплопроизводительности котлов</w:t>
            </w:r>
          </w:p>
        </w:tc>
        <w:tc>
          <w:tcPr>
            <w:tcW w:w="1512"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1189,65</w:t>
            </w:r>
          </w:p>
        </w:tc>
        <w:tc>
          <w:tcPr>
            <w:tcW w:w="459" w:type="dxa"/>
            <w:tcBorders>
              <w:top w:val="single" w:sz="4" w:space="0" w:color="000000"/>
              <w:bottom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1189,65</w:t>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31.12.2024</w:t>
            </w:r>
          </w:p>
        </w:tc>
        <w:tc>
          <w:tcPr>
            <w:tcW w:w="176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r>
        <w:trPr>
          <w:trHeight w:val="415" w:hRule="atLeast"/>
        </w:trPr>
        <w:tc>
          <w:tcPr>
            <w:tcW w:w="15255"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color w:val="000000"/>
                <w:sz w:val="20"/>
                <w:szCs w:val="20"/>
                <w:lang w:eastAsia="ru-RU"/>
              </w:rPr>
            </w:pPr>
            <w:r>
              <w:rPr>
                <w:rFonts w:eastAsia="Times New Roman" w:cs="Times New Roman"/>
                <w:b/>
                <w:color w:val="000000"/>
                <w:sz w:val="20"/>
                <w:szCs w:val="20"/>
                <w:lang w:eastAsia="ru-RU"/>
              </w:rPr>
              <w:t>2. Котельная, адрес объекта: Красноярский край, Курагинский район, р.п. Курагино, ул. Вокзальная, 10а, строение 4</w:t>
            </w:r>
          </w:p>
        </w:tc>
      </w:tr>
      <w:tr>
        <w:trPr>
          <w:trHeight w:val="1412" w:hRule="atLeast"/>
        </w:trPr>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3.1</w:t>
            </w:r>
          </w:p>
        </w:tc>
        <w:tc>
          <w:tcPr>
            <w:tcW w:w="2624"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ind w:firstLine="32"/>
              <w:rPr>
                <w:rFonts w:eastAsia="Times New Roman" w:cs="Times New Roman"/>
                <w:color w:val="000000"/>
                <w:sz w:val="20"/>
                <w:szCs w:val="20"/>
                <w:lang w:eastAsia="ru-RU"/>
              </w:rPr>
            </w:pPr>
            <w:r>
              <w:rPr>
                <w:rFonts w:eastAsia="Times New Roman" w:cs="Times New Roman"/>
                <w:color w:val="000000"/>
                <w:sz w:val="20"/>
                <w:szCs w:val="20"/>
                <w:lang w:eastAsia="ru-RU"/>
              </w:rPr>
              <w:t>Замена газоочистного оборудования (циклон марки ЦН-15-500-4УП) на скруббер с подвижной насадкой марки ШВ-2,5</w:t>
            </w:r>
          </w:p>
        </w:tc>
        <w:tc>
          <w:tcPr>
            <w:tcW w:w="250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Высокая степень очистки, Одновременное пылеулавливание и нейтрализация газовых компонентов.</w:t>
            </w:r>
          </w:p>
        </w:tc>
        <w:tc>
          <w:tcPr>
            <w:tcW w:w="1512"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1 666.67</w:t>
            </w:r>
          </w:p>
        </w:tc>
        <w:tc>
          <w:tcPr>
            <w:tcW w:w="459" w:type="dxa"/>
            <w:tcBorders>
              <w:top w:val="single" w:sz="4" w:space="0" w:color="000000"/>
              <w:bottom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416.67</w:t>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1 250.00</w:t>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31.12.2031</w:t>
            </w:r>
          </w:p>
        </w:tc>
        <w:tc>
          <w:tcPr>
            <w:tcW w:w="176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r>
        <w:trPr>
          <w:trHeight w:val="1404" w:hRule="atLeast"/>
        </w:trPr>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3.2</w:t>
            </w:r>
          </w:p>
        </w:tc>
        <w:tc>
          <w:tcPr>
            <w:tcW w:w="2624"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ind w:firstLine="32"/>
              <w:rPr>
                <w:rFonts w:eastAsia="Times New Roman" w:cs="Times New Roman"/>
                <w:color w:val="000000"/>
                <w:sz w:val="20"/>
                <w:szCs w:val="20"/>
                <w:lang w:eastAsia="ru-RU"/>
              </w:rPr>
            </w:pPr>
            <w:r>
              <w:rPr>
                <w:rFonts w:eastAsia="Times New Roman" w:cs="Times New Roman"/>
                <w:color w:val="000000"/>
                <w:sz w:val="20"/>
                <w:szCs w:val="20"/>
                <w:lang w:eastAsia="ru-RU"/>
              </w:rPr>
              <w:t>Установка преобразователей частоты EN600-4T0185G управления сетевыми насосами №1, 2, 3 (3 шт.)</w:t>
            </w:r>
          </w:p>
        </w:tc>
        <w:tc>
          <w:tcPr>
            <w:tcW w:w="250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Экономия электроэнергии, увеличение срока службы основного сетевого оборудования.</w:t>
            </w:r>
          </w:p>
        </w:tc>
        <w:tc>
          <w:tcPr>
            <w:tcW w:w="1512"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500.00</w:t>
            </w:r>
          </w:p>
        </w:tc>
        <w:tc>
          <w:tcPr>
            <w:tcW w:w="459" w:type="dxa"/>
            <w:tcBorders>
              <w:top w:val="single" w:sz="4" w:space="0" w:color="000000"/>
              <w:bottom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500.00</w:t>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tcBorders>
            <w:shd w:color="auto" w:fill="auto" w:val="clear"/>
            <w:vAlign w:val="bottom"/>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6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31.12.2024</w:t>
            </w:r>
          </w:p>
        </w:tc>
        <w:tc>
          <w:tcPr>
            <w:tcW w:w="176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bl>
    <w:p>
      <w:pPr>
        <w:pStyle w:val="Normal"/>
        <w:ind w:hanging="0"/>
        <w:rPr>
          <w:rFonts w:ascii="Times New Roman" w:hAnsi="Times New Roman" w:cs="Times New Roman"/>
          <w:i w:val="false"/>
          <w:i w:val="false"/>
          <w:color w:val="auto"/>
          <w:szCs w:val="26"/>
        </w:rPr>
      </w:pPr>
      <w:r>
        <w:rPr/>
      </w:r>
    </w:p>
    <w:p>
      <w:pPr>
        <w:sectPr>
          <w:footerReference w:type="default" r:id="rId12"/>
          <w:type w:val="nextPage"/>
          <w:pgSz w:orient="landscape" w:w="16838" w:h="11906"/>
          <w:pgMar w:left="851" w:right="851" w:gutter="0" w:header="0" w:top="1134" w:footer="709" w:bottom="766"/>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ind w:hanging="0"/>
        <w:rPr>
          <w:rFonts w:ascii="Times New Roman" w:hAnsi="Times New Roman" w:cs="Times New Roman"/>
          <w:i w:val="false"/>
          <w:i w:val="false"/>
          <w:color w:val="auto"/>
          <w:szCs w:val="26"/>
        </w:rPr>
      </w:pPr>
      <w:r>
        <w:rPr/>
      </w:r>
    </w:p>
    <w:p>
      <w:pPr>
        <w:pStyle w:val="2"/>
        <w:rPr>
          <w:rFonts w:ascii="Times New Roman" w:hAnsi="Times New Roman" w:cs="Times New Roman"/>
          <w:i w:val="false"/>
          <w:i w:val="false"/>
          <w:color w:val="auto"/>
          <w:szCs w:val="26"/>
        </w:rPr>
      </w:pPr>
      <w:bookmarkStart w:id="72" w:name="_Toc467665695"/>
      <w:r>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72"/>
    </w:p>
    <w:p>
      <w:pPr>
        <w:sectPr>
          <w:footerReference w:type="default" r:id="rId13"/>
          <w:type w:val="nextPage"/>
          <w:pgSz w:w="11906" w:h="16838"/>
          <w:pgMar w:left="1134" w:right="567" w:gutter="0" w:header="0" w:top="851" w:footer="709"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Style w:val="Normal"/>
        <w:rPr>
          <w:rFonts w:ascii="Times New Roman" w:hAnsi="Times New Roman" w:cs="Times New Roman"/>
          <w:i w:val="false"/>
          <w:i w:val="false"/>
          <w:color w:val="auto"/>
          <w:szCs w:val="26"/>
        </w:rPr>
      </w:pPr>
      <w:r>
        <w:rPr/>
        <w:t>Расчет инвестиций в строительство и реконструкцию тепловых сетей согласно государственным сметным нормативам по укрупненным ценам НЦС 81-02-13-2012 утвержденных приказом Министерством регионального развития РФ от 30.12.2011г. № 643 и внесены в таблицу 7.2.</w:t>
      </w:r>
    </w:p>
    <w:p>
      <w:pPr>
        <w:pStyle w:val="Style37"/>
        <w:shd w:val="clear" w:color="auto" w:fill="auto"/>
        <w:spacing w:lineRule="auto" w:line="276"/>
        <w:ind w:firstLine="709"/>
        <w:rPr>
          <w:rFonts w:ascii="Times New Roman" w:hAnsi="Times New Roman" w:cs="Times New Roman"/>
          <w:i w:val="false"/>
          <w:i w:val="false"/>
          <w:color w:val="auto"/>
          <w:szCs w:val="26"/>
        </w:rPr>
      </w:pPr>
      <w:r>
        <w:rPr/>
        <w:t>Таблица 7.2. Необходимые инвестиции в строительство, реконструкцию и техническое перевооружение тепловых сетей на каждом этапе</w:t>
      </w:r>
    </w:p>
    <w:tbl>
      <w:tblPr>
        <w:tblW w:w="15259" w:type="dxa"/>
        <w:jc w:val="left"/>
        <w:tblInd w:w="93" w:type="dxa"/>
        <w:tblLayout w:type="fixed"/>
        <w:tblCellMar>
          <w:top w:w="0" w:type="dxa"/>
          <w:left w:w="108" w:type="dxa"/>
          <w:bottom w:w="0" w:type="dxa"/>
          <w:right w:w="108" w:type="dxa"/>
        </w:tblCellMar>
        <w:tblLook w:firstRow="1" w:noVBand="1" w:lastRow="0" w:firstColumn="1" w:lastColumn="0" w:noHBand="0" w:val="04a0"/>
      </w:tblPr>
      <w:tblGrid>
        <w:gridCol w:w="718"/>
        <w:gridCol w:w="2071"/>
        <w:gridCol w:w="2287"/>
        <w:gridCol w:w="1448"/>
        <w:gridCol w:w="460"/>
        <w:gridCol w:w="459"/>
        <w:gridCol w:w="459"/>
        <w:gridCol w:w="560"/>
        <w:gridCol w:w="459"/>
        <w:gridCol w:w="597"/>
        <w:gridCol w:w="700"/>
        <w:gridCol w:w="712"/>
        <w:gridCol w:w="567"/>
        <w:gridCol w:w="693"/>
        <w:gridCol w:w="1544"/>
        <w:gridCol w:w="1521"/>
      </w:tblGrid>
      <w:tr>
        <w:trPr>
          <w:trHeight w:val="1365" w:hRule="atLeast"/>
        </w:trPr>
        <w:tc>
          <w:tcPr>
            <w:tcW w:w="7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 xml:space="preserve">№ </w:t>
            </w:r>
            <w:r>
              <w:rPr>
                <w:rFonts w:eastAsia="Times New Roman" w:cs="Times New Roman"/>
                <w:color w:val="000000"/>
                <w:sz w:val="22"/>
                <w:lang w:eastAsia="ru-RU"/>
              </w:rPr>
              <w:t>п/п</w:t>
            </w:r>
          </w:p>
        </w:tc>
        <w:tc>
          <w:tcPr>
            <w:tcW w:w="2071"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Наименование мероприятия</w:t>
            </w:r>
          </w:p>
        </w:tc>
        <w:tc>
          <w:tcPr>
            <w:tcW w:w="2287"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Цели реализации мероприятия</w:t>
            </w:r>
          </w:p>
        </w:tc>
        <w:tc>
          <w:tcPr>
            <w:tcW w:w="1448"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Финансовые потребности всего, тыс. руб.</w:t>
            </w:r>
          </w:p>
        </w:tc>
        <w:tc>
          <w:tcPr>
            <w:tcW w:w="5666"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Реализация мероприятий по годам, тыс.руб.</w:t>
            </w:r>
          </w:p>
        </w:tc>
        <w:tc>
          <w:tcPr>
            <w:tcW w:w="1544"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Срок ввода мощностей в эксплуатацию</w:t>
            </w:r>
          </w:p>
        </w:tc>
        <w:tc>
          <w:tcPr>
            <w:tcW w:w="1521"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2"/>
                <w:lang w:eastAsia="ru-RU"/>
              </w:rPr>
            </w:pPr>
            <w:r>
              <w:rPr>
                <w:rFonts w:eastAsia="Times New Roman" w:cs="Times New Roman"/>
                <w:color w:val="000000"/>
                <w:sz w:val="22"/>
                <w:lang w:eastAsia="ru-RU"/>
              </w:rPr>
              <w:t>Срок вывода мощностей из эксплуатации</w:t>
            </w:r>
          </w:p>
        </w:tc>
      </w:tr>
      <w:tr>
        <w:trPr>
          <w:trHeight w:val="283" w:hRule="atLeast"/>
        </w:trPr>
        <w:tc>
          <w:tcPr>
            <w:tcW w:w="15255" w:type="dxa"/>
            <w:gridSpan w:val="16"/>
            <w:tcBorders>
              <w:top w:val="single" w:sz="4" w:space="0" w:color="000000"/>
              <w:left w:val="single" w:sz="4" w:space="0" w:color="000000"/>
              <w:bottom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1.Котельная, адрес объекта: Красноярский край, Курагинский район, р.п. Курагино, пер.Кооперативный, 15</w:t>
            </w:r>
          </w:p>
        </w:tc>
      </w:tr>
      <w:tr>
        <w:trPr>
          <w:trHeight w:val="300" w:hRule="atLeast"/>
        </w:trPr>
        <w:tc>
          <w:tcPr>
            <w:tcW w:w="718"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w:t>
            </w:r>
          </w:p>
        </w:tc>
        <w:tc>
          <w:tcPr>
            <w:tcW w:w="2071"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w:t>
            </w:r>
          </w:p>
        </w:tc>
        <w:tc>
          <w:tcPr>
            <w:tcW w:w="2287"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3</w:t>
            </w:r>
          </w:p>
        </w:tc>
        <w:tc>
          <w:tcPr>
            <w:tcW w:w="1448"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4</w:t>
            </w:r>
          </w:p>
        </w:tc>
        <w:tc>
          <w:tcPr>
            <w:tcW w:w="5666" w:type="dxa"/>
            <w:gridSpan w:val="10"/>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5</w:t>
            </w:r>
          </w:p>
        </w:tc>
        <w:tc>
          <w:tcPr>
            <w:tcW w:w="1544"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6</w:t>
            </w:r>
          </w:p>
        </w:tc>
        <w:tc>
          <w:tcPr>
            <w:tcW w:w="1521"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7</w:t>
            </w:r>
          </w:p>
        </w:tc>
      </w:tr>
      <w:tr>
        <w:trPr>
          <w:trHeight w:val="493" w:hRule="atLeast"/>
        </w:trPr>
        <w:tc>
          <w:tcPr>
            <w:tcW w:w="718"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2071"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2287"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1448"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4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2022</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2023</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2024</w:t>
            </w:r>
          </w:p>
        </w:tc>
        <w:tc>
          <w:tcPr>
            <w:tcW w:w="56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2025</w:t>
            </w:r>
          </w:p>
        </w:tc>
        <w:tc>
          <w:tcPr>
            <w:tcW w:w="459"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2026</w:t>
            </w:r>
          </w:p>
        </w:tc>
        <w:tc>
          <w:tcPr>
            <w:tcW w:w="597"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2027</w:t>
            </w:r>
          </w:p>
        </w:tc>
        <w:tc>
          <w:tcPr>
            <w:tcW w:w="700"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2028</w:t>
            </w:r>
          </w:p>
        </w:tc>
        <w:tc>
          <w:tcPr>
            <w:tcW w:w="712"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2029</w:t>
            </w:r>
          </w:p>
        </w:tc>
        <w:tc>
          <w:tcPr>
            <w:tcW w:w="567"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2030</w:t>
            </w:r>
          </w:p>
        </w:tc>
        <w:tc>
          <w:tcPr>
            <w:tcW w:w="693" w:type="dxa"/>
            <w:tcBorders>
              <w:bottom w:val="single" w:sz="4" w:space="0" w:color="000000"/>
              <w:right w:val="single" w:sz="4" w:space="0" w:color="000000"/>
            </w:tcBorders>
            <w:shd w:color="auto" w:fill="auto" w:val="clear"/>
            <w:textDirection w:val="btL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2031</w:t>
            </w:r>
          </w:p>
        </w:tc>
        <w:tc>
          <w:tcPr>
            <w:tcW w:w="1544"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c>
          <w:tcPr>
            <w:tcW w:w="1521" w:type="dxa"/>
            <w:tcBorders>
              <w:bottom w:val="single" w:sz="4" w:space="0" w:color="000000"/>
              <w:right w:val="single" w:sz="4" w:space="0" w:color="000000"/>
            </w:tcBorders>
            <w:shd w:color="auto" w:fill="auto" w:val="clear"/>
            <w:vAlign w:val="bottom"/>
          </w:tcPr>
          <w:p>
            <w:pPr>
              <w:pStyle w:val="Normal"/>
              <w:widowControl w:val="false"/>
              <w:spacing w:lineRule="auto" w:line="240"/>
              <w:ind w:hanging="0"/>
              <w:jc w:val="center"/>
              <w:rPr>
                <w:rFonts w:ascii="Calibri" w:hAnsi="Calibri" w:eastAsia="Times New Roman" w:cs="Calibri"/>
                <w:b/>
                <w:b/>
                <w:bCs/>
                <w:color w:val="000000"/>
                <w:sz w:val="20"/>
                <w:szCs w:val="20"/>
                <w:lang w:eastAsia="ru-RU"/>
              </w:rPr>
            </w:pPr>
            <w:r>
              <w:rPr>
                <w:rFonts w:eastAsia="Times New Roman" w:cs="Calibri" w:ascii="Calibri" w:hAnsi="Calibri"/>
                <w:b/>
                <w:bCs/>
                <w:color w:val="000000"/>
                <w:sz w:val="20"/>
                <w:szCs w:val="20"/>
                <w:lang w:eastAsia="ru-RU"/>
              </w:rPr>
            </w:r>
          </w:p>
        </w:tc>
      </w:tr>
      <w:tr>
        <w:trPr>
          <w:trHeight w:val="3011" w:hRule="atLeast"/>
          <w:cantSplit w:val="true"/>
        </w:trPr>
        <w:tc>
          <w:tcPr>
            <w:tcW w:w="7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2.1</w:t>
            </w:r>
          </w:p>
        </w:tc>
        <w:tc>
          <w:tcPr>
            <w:tcW w:w="2071"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left"/>
              <w:rPr>
                <w:rFonts w:eastAsia="Times New Roman" w:cs="Times New Roman"/>
                <w:sz w:val="20"/>
                <w:szCs w:val="20"/>
                <w:lang w:eastAsia="ru-RU"/>
              </w:rPr>
            </w:pPr>
            <w:r>
              <w:rPr>
                <w:rFonts w:eastAsia="Times New Roman" w:cs="Times New Roman"/>
                <w:sz w:val="20"/>
                <w:szCs w:val="20"/>
                <w:lang w:eastAsia="ru-RU"/>
              </w:rPr>
              <w:t>Реконструкция тепловых сетей с использованием современных теплоизоляционных материалов (предварительная изоляция  ППУ) на участке по ул. Ленина (перекресток с ул. Трактовая) ТК №22 до пер. Больничный (ТК№26) в 2 трубном исполнении протяженностью 413 м.</w:t>
            </w:r>
          </w:p>
        </w:tc>
        <w:tc>
          <w:tcPr>
            <w:tcW w:w="2287"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Снижение теплопотерь, улучшение качества обслуживания в связи с заменой стальных труб d 159 с изоляцией минватой на стальные трубы d 159 мм с изоляцией ППУ.</w:t>
            </w:r>
          </w:p>
        </w:tc>
        <w:tc>
          <w:tcPr>
            <w:tcW w:w="1448"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2 083.34</w:t>
            </w:r>
          </w:p>
        </w:tc>
        <w:tc>
          <w:tcPr>
            <w:tcW w:w="460"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459"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560"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459"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left"/>
              <w:rPr>
                <w:rFonts w:ascii="Calibri" w:hAnsi="Calibri" w:eastAsia="Times New Roman" w:cs="Calibri"/>
                <w:color w:val="000000"/>
                <w:sz w:val="22"/>
                <w:lang w:eastAsia="ru-RU"/>
              </w:rPr>
            </w:pPr>
            <w:r>
              <w:rPr>
                <w:rFonts w:eastAsia="Times New Roman" w:cs="Calibri" w:ascii="Calibri" w:hAnsi="Calibri"/>
                <w:color w:val="000000"/>
                <w:sz w:val="22"/>
                <w:lang w:eastAsia="ru-RU"/>
              </w:rPr>
            </w:r>
          </w:p>
        </w:tc>
        <w:tc>
          <w:tcPr>
            <w:tcW w:w="597"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left="113" w:right="113"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1 175.00</w:t>
            </w:r>
          </w:p>
        </w:tc>
        <w:tc>
          <w:tcPr>
            <w:tcW w:w="700" w:type="dxa"/>
            <w:tcBorders>
              <w:top w:val="single" w:sz="4" w:space="0" w:color="000000"/>
              <w:bottom w:val="single" w:sz="4" w:space="0" w:color="000000"/>
              <w:right w:val="single" w:sz="4" w:space="0" w:color="000000"/>
            </w:tcBorders>
            <w:shd w:color="auto" w:fill="auto" w:val="clear"/>
            <w:textDirection w:val="btLr"/>
            <w:vAlign w:val="center"/>
          </w:tcPr>
          <w:p>
            <w:pPr>
              <w:pStyle w:val="Normal"/>
              <w:widowControl w:val="false"/>
              <w:spacing w:lineRule="auto" w:line="240"/>
              <w:ind w:left="113" w:right="113" w:hanging="0"/>
              <w:jc w:val="center"/>
              <w:rPr>
                <w:rFonts w:eastAsia="Times New Roman" w:cs="Times New Roman"/>
                <w:b/>
                <w:b/>
                <w:bCs/>
                <w:color w:val="000000"/>
                <w:sz w:val="20"/>
                <w:szCs w:val="20"/>
                <w:lang w:eastAsia="ru-RU"/>
              </w:rPr>
            </w:pPr>
            <w:r>
              <w:rPr>
                <w:rFonts w:eastAsia="Times New Roman" w:cs="Times New Roman"/>
                <w:b/>
                <w:bCs/>
                <w:color w:val="000000"/>
                <w:sz w:val="20"/>
                <w:szCs w:val="20"/>
                <w:lang w:eastAsia="ru-RU"/>
              </w:rPr>
              <w:t>908.34</w:t>
            </w:r>
          </w:p>
        </w:tc>
        <w:tc>
          <w:tcPr>
            <w:tcW w:w="712"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567"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693"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r>
          </w:p>
        </w:tc>
        <w:tc>
          <w:tcPr>
            <w:tcW w:w="1544"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До 31.12.2028</w:t>
            </w:r>
          </w:p>
        </w:tc>
        <w:tc>
          <w:tcPr>
            <w:tcW w:w="1521"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Times New Roman"/>
                <w:color w:val="000000"/>
                <w:sz w:val="20"/>
                <w:szCs w:val="20"/>
                <w:lang w:eastAsia="ru-RU"/>
              </w:rPr>
            </w:pPr>
            <w:r>
              <w:rPr>
                <w:rFonts w:eastAsia="Times New Roman" w:cs="Times New Roman"/>
                <w:color w:val="000000"/>
                <w:sz w:val="20"/>
                <w:szCs w:val="20"/>
                <w:lang w:eastAsia="ru-RU"/>
              </w:rPr>
              <w:t>В соответствии с технической  документацией</w:t>
            </w:r>
          </w:p>
        </w:tc>
      </w:tr>
    </w:tbl>
    <w:p>
      <w:pPr>
        <w:sectPr>
          <w:footerReference w:type="default" r:id="rId14"/>
          <w:type w:val="nextPage"/>
          <w:pgSz w:orient="landscape" w:w="16838" w:h="11906"/>
          <w:pgMar w:left="851" w:right="851" w:gutter="0" w:header="0" w:top="1134" w:footer="709" w:bottom="766"/>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pPr>
    </w:p>
    <w:p>
      <w:pPr>
        <w:pStyle w:val="2"/>
        <w:rPr>
          <w:rFonts w:ascii="Times New Roman" w:hAnsi="Times New Roman" w:cs="Times New Roman"/>
          <w:i w:val="false"/>
          <w:i w:val="false"/>
          <w:color w:val="auto"/>
          <w:szCs w:val="26"/>
        </w:rPr>
      </w:pPr>
      <w:bookmarkStart w:id="73" w:name="_Toc467665696"/>
      <w:r>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73"/>
    </w:p>
    <w:p>
      <w:pPr>
        <w:pStyle w:val="Normal"/>
        <w:rPr>
          <w:rFonts w:ascii="Times New Roman" w:hAnsi="Times New Roman" w:cs="Times New Roman"/>
          <w:i w:val="false"/>
          <w:i w:val="false"/>
          <w:color w:val="auto"/>
          <w:szCs w:val="26"/>
        </w:rPr>
      </w:pPr>
      <w:r>
        <w:rPr/>
        <w:t>Инвестиции в строительство, реконструкцию и техническое перевооружение в связи с изменениями температурного не требуется.</w:t>
      </w:r>
    </w:p>
    <w:p>
      <w:pPr>
        <w:pStyle w:val="Normal"/>
        <w:rPr>
          <w:rFonts w:eastAsia="" w:cs="" w:cstheme="majorBidi" w:eastAsiaTheme="majorEastAsia"/>
          <w:szCs w:val="28"/>
        </w:rPr>
      </w:pPr>
      <w:r>
        <w:rPr>
          <w:rFonts w:eastAsia="" w:cs="" w:cstheme="majorBidi" w:eastAsiaTheme="majorEastAsia"/>
          <w:szCs w:val="28"/>
        </w:rPr>
      </w:r>
      <w:r>
        <w:br w:type="page"/>
      </w:r>
    </w:p>
    <w:p>
      <w:pPr>
        <w:pStyle w:val="1"/>
        <w:rPr>
          <w:rFonts w:ascii="Times New Roman" w:hAnsi="Times New Roman" w:cs="Times New Roman"/>
          <w:i w:val="false"/>
          <w:i w:val="false"/>
          <w:color w:val="auto"/>
          <w:szCs w:val="26"/>
        </w:rPr>
      </w:pPr>
      <w:bookmarkStart w:id="74" w:name="_Toc414001749"/>
      <w:bookmarkStart w:id="75" w:name="_Toc395187820"/>
      <w:bookmarkStart w:id="76" w:name="_Toc467665697"/>
      <w:bookmarkStart w:id="77" w:name="_Toc414001753"/>
      <w:bookmarkStart w:id="78" w:name="_Toc395187823"/>
      <w:bookmarkEnd w:id="74"/>
      <w:bookmarkEnd w:id="75"/>
      <w:r>
        <w:rPr/>
        <w:t>Раздел 8. Решение об определении единой теплоснабжающей организации</w:t>
      </w:r>
      <w:bookmarkEnd w:id="76"/>
      <w:bookmarkEnd w:id="77"/>
      <w:bookmarkEnd w:id="78"/>
    </w:p>
    <w:p>
      <w:pPr>
        <w:pStyle w:val="Normal"/>
        <w:widowControl w:val="false"/>
        <w:numPr>
          <w:ilvl w:val="0"/>
          <w:numId w:val="9"/>
        </w:numPr>
        <w:tabs>
          <w:tab w:val="clear" w:pos="708"/>
          <w:tab w:val="left" w:pos="1265" w:leader="none"/>
        </w:tabs>
        <w:rPr>
          <w:rFonts w:ascii="Times New Roman" w:hAnsi="Times New Roman" w:cs="Times New Roman"/>
          <w:i w:val="false"/>
          <w:i w:val="false"/>
          <w:color w:val="auto"/>
          <w:szCs w:val="26"/>
        </w:rPr>
      </w:pPr>
      <w:r>
        <w:rPr/>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Правительства Российской Федерации" критерия определения единой теплоснабжающей организации являются:</w:t>
      </w:r>
    </w:p>
    <w:p>
      <w:pPr>
        <w:pStyle w:val="Normal"/>
        <w:widowControl w:val="false"/>
        <w:numPr>
          <w:ilvl w:val="0"/>
          <w:numId w:val="10"/>
        </w:numPr>
        <w:tabs>
          <w:tab w:val="clear" w:pos="708"/>
          <w:tab w:val="left" w:pos="350" w:leader="none"/>
        </w:tabs>
        <w:rPr>
          <w:rFonts w:ascii="Times New Roman" w:hAnsi="Times New Roman" w:cs="Times New Roman"/>
          <w:i w:val="false"/>
          <w:i w:val="false"/>
          <w:color w:val="auto"/>
          <w:szCs w:val="26"/>
        </w:rPr>
      </w:pPr>
      <w:r>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pPr>
        <w:pStyle w:val="Normal"/>
        <w:widowControl w:val="false"/>
        <w:numPr>
          <w:ilvl w:val="0"/>
          <w:numId w:val="10"/>
        </w:numPr>
        <w:tabs>
          <w:tab w:val="clear" w:pos="708"/>
          <w:tab w:val="left" w:pos="356" w:leader="none"/>
        </w:tabs>
        <w:rPr>
          <w:rFonts w:ascii="Times New Roman" w:hAnsi="Times New Roman" w:cs="Times New Roman"/>
          <w:i w:val="false"/>
          <w:i w:val="false"/>
          <w:color w:val="auto"/>
          <w:szCs w:val="26"/>
        </w:rPr>
      </w:pPr>
      <w:r>
        <w:rPr/>
        <w:t>размер собственного капитала;</w:t>
      </w:r>
    </w:p>
    <w:p>
      <w:pPr>
        <w:pStyle w:val="Normal"/>
        <w:widowControl w:val="false"/>
        <w:numPr>
          <w:ilvl w:val="0"/>
          <w:numId w:val="10"/>
        </w:numPr>
        <w:tabs>
          <w:tab w:val="clear" w:pos="708"/>
          <w:tab w:val="left" w:pos="356" w:leader="none"/>
        </w:tabs>
        <w:rPr>
          <w:rFonts w:ascii="Times New Roman" w:hAnsi="Times New Roman" w:cs="Times New Roman"/>
          <w:i w:val="false"/>
          <w:i w:val="false"/>
          <w:color w:val="auto"/>
          <w:szCs w:val="26"/>
        </w:rPr>
      </w:pPr>
      <w:r>
        <w:rPr/>
        <w:t>способность в лучшей мере обеспечить надежность теплоснабжения в соответствующей системе теплоснабжения.</w:t>
      </w:r>
    </w:p>
    <w:p>
      <w:pPr>
        <w:pStyle w:val="Normal"/>
        <w:rPr>
          <w:rFonts w:ascii="Times New Roman" w:hAnsi="Times New Roman" w:cs="Times New Roman"/>
          <w:i w:val="false"/>
          <w:i w:val="false"/>
          <w:color w:val="auto"/>
          <w:szCs w:val="26"/>
        </w:rPr>
      </w:pPr>
      <w:r>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pPr>
        <w:pStyle w:val="Normal"/>
        <w:widowControl w:val="false"/>
        <w:numPr>
          <w:ilvl w:val="0"/>
          <w:numId w:val="9"/>
        </w:numPr>
        <w:tabs>
          <w:tab w:val="clear" w:pos="708"/>
          <w:tab w:val="left" w:pos="1265" w:leader="none"/>
        </w:tabs>
        <w:rPr>
          <w:rFonts w:ascii="Times New Roman" w:hAnsi="Times New Roman" w:cs="Times New Roman"/>
          <w:i w:val="false"/>
          <w:i w:val="false"/>
          <w:color w:val="auto"/>
          <w:szCs w:val="26"/>
        </w:rPr>
      </w:pPr>
      <w:r>
        <w:rPr/>
        <w:t>В настоящее время критериям единой теплоснабжающей организации соответствует только ООО «Курагинский ТеплоВодоканал».</w:t>
      </w:r>
    </w:p>
    <w:p>
      <w:pPr>
        <w:pStyle w:val="Normal"/>
        <w:rPr>
          <w:rFonts w:ascii="Times New Roman" w:hAnsi="Times New Roman" w:cs="Times New Roman"/>
          <w:i w:val="false"/>
          <w:i w:val="false"/>
          <w:color w:val="auto"/>
          <w:szCs w:val="26"/>
        </w:rPr>
      </w:pPr>
      <w:r>
        <w:rPr/>
      </w:r>
    </w:p>
    <w:p>
      <w:pPr>
        <w:pStyle w:val="Normal"/>
        <w:ind w:hanging="0"/>
        <w:rPr>
          <w:rFonts w:eastAsia="" w:cs="" w:cstheme="majorBidi" w:eastAsiaTheme="majorEastAsia"/>
          <w:b/>
          <w:b/>
          <w:bCs/>
          <w:szCs w:val="26"/>
        </w:rPr>
      </w:pPr>
      <w:r>
        <w:rPr>
          <w:rFonts w:eastAsia="" w:cs="" w:cstheme="majorBidi" w:eastAsiaTheme="majorEastAsia"/>
          <w:b/>
          <w:bCs/>
          <w:szCs w:val="26"/>
        </w:rPr>
      </w:r>
      <w:bookmarkStart w:id="79" w:name="_Toc414001754"/>
      <w:bookmarkStart w:id="80" w:name="_Toc395187824"/>
      <w:bookmarkStart w:id="81" w:name="_Toc414001754"/>
      <w:bookmarkStart w:id="82" w:name="_Toc395187824"/>
      <w:r>
        <w:br w:type="page"/>
      </w:r>
    </w:p>
    <w:p>
      <w:pPr>
        <w:pStyle w:val="1"/>
        <w:keepLines w:val="false"/>
        <w:spacing w:before="0" w:after="0"/>
        <w:rPr>
          <w:szCs w:val="26"/>
        </w:rPr>
      </w:pPr>
      <w:bookmarkStart w:id="83" w:name="_Toc414001754"/>
      <w:bookmarkStart w:id="84" w:name="_Toc395187824"/>
      <w:bookmarkStart w:id="85" w:name="_Toc467665698"/>
      <w:r>
        <w:rPr>
          <w:szCs w:val="26"/>
        </w:rPr>
        <w:t>Раздел 9. Решения о распределении тепловой нагрузки между источниками тепловой энергии</w:t>
      </w:r>
      <w:bookmarkEnd w:id="83"/>
      <w:bookmarkEnd w:id="84"/>
      <w:bookmarkEnd w:id="85"/>
    </w:p>
    <w:p>
      <w:pPr>
        <w:pStyle w:val="Normal"/>
        <w:rPr>
          <w:rFonts w:ascii="Times New Roman" w:hAnsi="Times New Roman" w:cs="Times New Roman"/>
          <w:i w:val="false"/>
          <w:i w:val="false"/>
          <w:color w:val="auto"/>
          <w:szCs w:val="26"/>
        </w:rPr>
      </w:pPr>
      <w:r>
        <w:rPr/>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источниками 1,2 км.и необходимостью переложить магистральную тепловую сеть с увеличением диаметров до 350 мм протяженностью 2,0 км.</w:t>
      </w:r>
    </w:p>
    <w:p>
      <w:pPr>
        <w:pStyle w:val="Normal"/>
        <w:rPr>
          <w:rFonts w:ascii="Times New Roman" w:hAnsi="Times New Roman" w:cs="Times New Roman"/>
          <w:i w:val="false"/>
          <w:i w:val="false"/>
          <w:color w:val="auto"/>
          <w:szCs w:val="26"/>
        </w:rPr>
      </w:pPr>
      <w:r>
        <w:rPr/>
      </w:r>
    </w:p>
    <w:p>
      <w:pPr>
        <w:pStyle w:val="Normal"/>
        <w:ind w:hanging="0"/>
        <w:rPr>
          <w:rFonts w:eastAsia="Times New Roman" w:cs="Times New Roman"/>
          <w:bCs/>
          <w:szCs w:val="26"/>
          <w:lang w:eastAsia="ru-RU"/>
        </w:rPr>
      </w:pPr>
      <w:r>
        <w:rPr>
          <w:rFonts w:eastAsia="Times New Roman" w:cs="Times New Roman"/>
          <w:bCs/>
          <w:szCs w:val="26"/>
          <w:lang w:eastAsia="ru-RU"/>
        </w:rPr>
      </w:r>
      <w:r>
        <w:br w:type="page"/>
      </w:r>
    </w:p>
    <w:p>
      <w:pPr>
        <w:pStyle w:val="1"/>
        <w:rPr>
          <w:rFonts w:ascii="Times New Roman" w:hAnsi="Times New Roman" w:cs="Times New Roman"/>
          <w:i w:val="false"/>
          <w:i w:val="false"/>
          <w:color w:val="auto"/>
          <w:szCs w:val="26"/>
        </w:rPr>
      </w:pPr>
      <w:bookmarkStart w:id="86" w:name="_Toc467665699"/>
      <w:bookmarkStart w:id="87" w:name="_Toc414001755"/>
      <w:bookmarkStart w:id="88" w:name="_Toc395187825"/>
      <w:r>
        <w:rPr/>
        <w:t>Раздел 10. Решения по бесхозяйным тепловым сетям</w:t>
      </w:r>
      <w:bookmarkEnd w:id="86"/>
      <w:bookmarkEnd w:id="87"/>
      <w:bookmarkEnd w:id="88"/>
    </w:p>
    <w:p>
      <w:pPr>
        <w:pStyle w:val="Normal"/>
        <w:widowControl w:val="false"/>
        <w:numPr>
          <w:ilvl w:val="0"/>
          <w:numId w:val="11"/>
        </w:numPr>
        <w:tabs>
          <w:tab w:val="clear" w:pos="708"/>
          <w:tab w:val="left" w:pos="1269" w:leader="none"/>
        </w:tabs>
        <w:spacing w:lineRule="exact" w:line="280" w:before="0" w:after="80"/>
        <w:ind w:firstLine="620"/>
        <w:rPr>
          <w:rFonts w:ascii="Times New Roman" w:hAnsi="Times New Roman" w:cs="Times New Roman"/>
          <w:i w:val="false"/>
          <w:i w:val="false"/>
          <w:color w:val="auto"/>
          <w:szCs w:val="26"/>
        </w:rPr>
      </w:pPr>
      <w:r>
        <w:rPr/>
        <w:t>Выявленных бесхозяйных тепловых сетей нет.</w:t>
      </w:r>
    </w:p>
    <w:p>
      <w:pPr>
        <w:pStyle w:val="Normal"/>
        <w:widowControl w:val="false"/>
        <w:numPr>
          <w:ilvl w:val="0"/>
          <w:numId w:val="11"/>
        </w:numPr>
        <w:tabs>
          <w:tab w:val="clear" w:pos="708"/>
          <w:tab w:val="left" w:pos="1251" w:leader="none"/>
        </w:tabs>
        <w:spacing w:lineRule="exact" w:line="370"/>
        <w:ind w:firstLine="620"/>
        <w:rPr>
          <w:rFonts w:ascii="Times New Roman" w:hAnsi="Times New Roman" w:cs="Times New Roman"/>
          <w:i w:val="false"/>
          <w:i w:val="false"/>
          <w:color w:val="auto"/>
          <w:szCs w:val="26"/>
        </w:rPr>
      </w:pPr>
      <w:r>
        <w:rPr/>
        <w:t>В случае выявления при дальнейшей эксплуатации бесхозяйных тепловых сетей согласно п. 6, ст. 15 Федерального закона «О теплоснабжении» от 27.07.2010г.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pPr>
        <w:pStyle w:val="Normal"/>
        <w:rPr>
          <w:rFonts w:cs="Times New Roman"/>
          <w:szCs w:val="26"/>
        </w:rPr>
      </w:pPr>
      <w:r>
        <w:rPr>
          <w:rFonts w:cs="Times New Roman"/>
          <w:szCs w:val="26"/>
        </w:rPr>
      </w:r>
    </w:p>
    <w:p>
      <w:pPr>
        <w:pStyle w:val="Normal"/>
        <w:rPr>
          <w:rFonts w:cs="Times New Roman"/>
          <w:szCs w:val="26"/>
        </w:rPr>
      </w:pPr>
      <w:r>
        <w:rPr>
          <w:rFonts w:cs="Times New Roman"/>
          <w:szCs w:val="26"/>
        </w:rPr>
      </w:r>
    </w:p>
    <w:p>
      <w:pPr>
        <w:pStyle w:val="Normal"/>
        <w:ind w:hanging="0"/>
        <w:rPr>
          <w:rFonts w:ascii="Times New Roman" w:hAnsi="Times New Roman" w:cs="Times New Roman"/>
          <w:i w:val="false"/>
          <w:i w:val="false"/>
          <w:color w:val="auto"/>
          <w:szCs w:val="26"/>
        </w:rPr>
      </w:pPr>
      <w:r>
        <w:rPr/>
      </w:r>
      <w:r>
        <w:br w:type="page"/>
      </w:r>
    </w:p>
    <w:p>
      <w:pPr>
        <w:pStyle w:val="1"/>
        <w:jc w:val="center"/>
        <w:rPr>
          <w:rFonts w:ascii="Times New Roman" w:hAnsi="Times New Roman" w:cs="Times New Roman"/>
          <w:i w:val="false"/>
          <w:i w:val="false"/>
          <w:color w:val="auto"/>
          <w:szCs w:val="26"/>
        </w:rPr>
      </w:pPr>
      <w:bookmarkStart w:id="89" w:name="_Toc467665700"/>
      <w:r>
        <w:rPr/>
        <w:t>Заключение</w:t>
      </w:r>
      <w:r>
        <w:rPr>
          <w:rStyle w:val="29"/>
          <w:rFonts w:eastAsia="" w:eastAsiaTheme="majorEastAsia"/>
          <w:b/>
          <w:bCs/>
          <w:sz w:val="26"/>
          <w:szCs w:val="26"/>
        </w:rPr>
        <w:t>.</w:t>
      </w:r>
      <w:bookmarkEnd w:id="89"/>
    </w:p>
    <w:p>
      <w:pPr>
        <w:pStyle w:val="Normal"/>
        <w:rPr>
          <w:szCs w:val="26"/>
        </w:rPr>
      </w:pPr>
      <w:r>
        <w:rPr>
          <w:szCs w:val="26"/>
        </w:rPr>
        <w:t>Схема теплоснабжения подлежит ежегодно актуализации в отношении следующих данных:</w:t>
      </w:r>
    </w:p>
    <w:p>
      <w:pPr>
        <w:pStyle w:val="Normal"/>
        <w:tabs>
          <w:tab w:val="clear" w:pos="708"/>
          <w:tab w:val="left" w:pos="1419" w:leader="none"/>
        </w:tabs>
        <w:rPr>
          <w:szCs w:val="26"/>
        </w:rPr>
      </w:pPr>
      <w:r>
        <w:rPr>
          <w:szCs w:val="26"/>
        </w:rPr>
        <w:t>а.</w:t>
        <w:tab/>
        <w:t>распределение тепловой нагрузки между источниками тепловой энергии в период, на который распределяются нагрузки;</w:t>
      </w:r>
    </w:p>
    <w:p>
      <w:pPr>
        <w:pStyle w:val="Normal"/>
        <w:tabs>
          <w:tab w:val="clear" w:pos="708"/>
          <w:tab w:val="left" w:pos="1419" w:leader="none"/>
        </w:tabs>
        <w:rPr>
          <w:szCs w:val="26"/>
        </w:rPr>
      </w:pPr>
      <w:r>
        <w:rPr>
          <w:szCs w:val="26"/>
        </w:rPr>
        <w:t>б.</w:t>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pPr>
        <w:pStyle w:val="Normal"/>
        <w:tabs>
          <w:tab w:val="clear" w:pos="708"/>
          <w:tab w:val="left" w:pos="1419" w:leader="none"/>
        </w:tabs>
        <w:rPr>
          <w:szCs w:val="26"/>
        </w:rPr>
      </w:pPr>
      <w:r>
        <w:rPr>
          <w:szCs w:val="26"/>
        </w:rPr>
        <w:t>в.</w:t>
        <w:tab/>
        <w:t>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w:t>
      </w:r>
    </w:p>
    <w:p>
      <w:pPr>
        <w:pStyle w:val="Normal"/>
        <w:tabs>
          <w:tab w:val="clear" w:pos="708"/>
          <w:tab w:val="left" w:pos="1419" w:leader="none"/>
        </w:tabs>
        <w:rPr>
          <w:szCs w:val="26"/>
        </w:rPr>
      </w:pPr>
      <w:r>
        <w:rPr>
          <w:szCs w:val="26"/>
        </w:rPr>
        <w:t>г.</w:t>
        <w:tab/>
        <w:t>переключение тепловой нагрузки от котельных на источники с комбинированной выработкой тепловой и электрической энергии в весенне</w:t>
        <w:softHyphen/>
        <w:t>-летний период функционирования систем теплоснабжения;</w:t>
      </w:r>
    </w:p>
    <w:p>
      <w:pPr>
        <w:pStyle w:val="Normal"/>
        <w:tabs>
          <w:tab w:val="clear" w:pos="708"/>
          <w:tab w:val="left" w:pos="1419" w:leader="none"/>
        </w:tabs>
        <w:rPr>
          <w:szCs w:val="26"/>
        </w:rPr>
      </w:pPr>
      <w:r>
        <w:rPr>
          <w:szCs w:val="26"/>
        </w:rPr>
        <w:t>д.</w:t>
        <w:tab/>
        <w:t>переключение тепловой нагрузки от котельных на источники с комбинированной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pPr>
        <w:pStyle w:val="Normal"/>
        <w:tabs>
          <w:tab w:val="clear" w:pos="708"/>
          <w:tab w:val="left" w:pos="1419" w:leader="none"/>
        </w:tabs>
        <w:rPr>
          <w:szCs w:val="26"/>
        </w:rPr>
      </w:pPr>
      <w:r>
        <w:rPr>
          <w:szCs w:val="26"/>
        </w:rPr>
        <w:t>е.</w:t>
        <w:tab/>
        <w:t>мероприятия по переоборудованию котельных в источники комбинированной выработки электрической и тепловой энергии;</w:t>
      </w:r>
    </w:p>
    <w:p>
      <w:pPr>
        <w:pStyle w:val="Normal"/>
        <w:tabs>
          <w:tab w:val="clear" w:pos="708"/>
          <w:tab w:val="left" w:pos="1419" w:leader="none"/>
        </w:tabs>
        <w:rPr>
          <w:szCs w:val="26"/>
        </w:rPr>
      </w:pPr>
      <w:r>
        <w:rPr>
          <w:szCs w:val="26"/>
        </w:rPr>
        <w:t>ж.</w:t>
        <w:tab/>
        <w:t>ввод в эксплуатацию в результате строительства, реконструкции и 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p>
    <w:p>
      <w:pPr>
        <w:pStyle w:val="Normal"/>
        <w:tabs>
          <w:tab w:val="clear" w:pos="708"/>
          <w:tab w:val="left" w:pos="1419" w:leader="none"/>
        </w:tabs>
        <w:rPr>
          <w:szCs w:val="26"/>
        </w:rPr>
      </w:pPr>
      <w:r>
        <w:rPr>
          <w:szCs w:val="26"/>
        </w:rPr>
        <w:t>з.</w:t>
        <w:tab/>
        <w:t>строительство и реконструкция тепловых сетей, включая их реконструкцию в связи с исчерпанием установленного и продленного ресурсов;</w:t>
      </w:r>
    </w:p>
    <w:p>
      <w:pPr>
        <w:pStyle w:val="Normal"/>
        <w:tabs>
          <w:tab w:val="clear" w:pos="708"/>
          <w:tab w:val="left" w:pos="1419" w:leader="none"/>
        </w:tabs>
        <w:rPr>
          <w:szCs w:val="26"/>
        </w:rPr>
      </w:pPr>
      <w:r>
        <w:rPr>
          <w:szCs w:val="26"/>
        </w:rPr>
        <w:t>и.</w:t>
        <w:tab/>
        <w:t>баланс топливно-энергетических ресурсов для обеспечения теплоснабжения, в том числе расходов аварийных запасов топлива;</w:t>
      </w:r>
    </w:p>
    <w:p>
      <w:pPr>
        <w:pStyle w:val="Normal"/>
        <w:tabs>
          <w:tab w:val="clear" w:pos="708"/>
          <w:tab w:val="left" w:pos="1419" w:leader="none"/>
        </w:tabs>
        <w:rPr>
          <w:szCs w:val="26"/>
        </w:rPr>
      </w:pPr>
      <w:r>
        <w:rPr>
          <w:szCs w:val="26"/>
        </w:rPr>
        <w:t>к.</w:t>
        <w:tab/>
        <w:t>финансовые потребности при изменении схемы теплоснабжения и источники их покрытия.</w:t>
      </w:r>
    </w:p>
    <w:p>
      <w:pPr>
        <w:pStyle w:val="Normal"/>
        <w:rPr>
          <w:rFonts w:cs="Times New Roman"/>
          <w:szCs w:val="26"/>
        </w:rPr>
      </w:pPr>
      <w:r>
        <w:rPr/>
      </w:r>
    </w:p>
    <w:sectPr>
      <w:footerReference w:type="default" r:id="rId15"/>
      <w:type w:val="nextPage"/>
      <w:pgSz w:w="11906" w:h="16838"/>
      <w:pgMar w:left="1134" w:right="567" w:gutter="0" w:header="0" w:top="851" w:footer="709" w:bottom="851"/>
      <w:pgBorders w:display="allPages" w:offsetFrom="text">
        <w:top w:val="single" w:sz="4" w:space="7" w:color="000000"/>
        <w:left w:val="single" w:sz="4" w:space="7" w:color="000000"/>
        <w:bottom w:val="single" w:sz="4" w:space="7" w:color="000000"/>
        <w:right w:val="single" w:sz="4" w:space="7" w:color="000000"/>
      </w:pgBorders>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Bookman Old Style">
    <w:charset w:val="cc"/>
    <w:family w:val="roman"/>
    <w:pitch w:val="variable"/>
  </w:font>
  <w:font w:name="Georgia">
    <w:charset w:val="cc"/>
    <w:family w:val="roman"/>
    <w:pitch w:val="variable"/>
  </w:font>
  <w:font w:name="Arial">
    <w:charset w:val="cc"/>
    <w:family w:val="roman"/>
    <w:pitch w:val="variable"/>
  </w:font>
  <w:font w:name="Courier New">
    <w:charset w:val="cc"/>
    <w:family w:val="roman"/>
    <w:pitch w:val="variable"/>
  </w:font>
  <w:font w:name="Verdana">
    <w:charset w:val="cc"/>
    <w:family w:val="roman"/>
    <w:pitch w:val="variable"/>
  </w:font>
  <w:font w:name="TimesNewRoman">
    <w:charset w:val="cc"/>
    <w:family w:val="roman"/>
    <w:pitch w:val="variable"/>
  </w:font>
  <w:font w:name="YS Text">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44621245"/>
    </w:sdtPr>
    <w:sdtContent>
      <w:p>
        <w:pPr>
          <w:pStyle w:val="Style34"/>
          <w:jc w:val="right"/>
          <w:rPr/>
        </w:pPr>
        <w:r>
          <w:rPr/>
          <w:fldChar w:fldCharType="begin"/>
        </w:r>
        <w:r>
          <w:rPr/>
          <w:instrText> PAGE </w:instrText>
        </w:r>
        <w:r>
          <w:rPr/>
          <w:fldChar w:fldCharType="separate"/>
        </w:r>
        <w:r>
          <w:rPr/>
          <w:t>9</w:t>
        </w:r>
        <w:r>
          <w:rPr/>
          <w:fldChar w:fldCharType="end"/>
        </w:r>
      </w:p>
      <w:p>
        <w:pPr>
          <w:pStyle w:val="Style34"/>
          <w:rPr/>
        </w:pPr>
        <w:r>
          <w:rPr/>
        </w:r>
      </w:p>
    </w:sdtContent>
  </w:sdt>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33288194"/>
    </w:sdtPr>
    <w:sdtContent>
      <w:p>
        <w:pPr>
          <w:pStyle w:val="Style34"/>
          <w:jc w:val="right"/>
          <w:rPr/>
        </w:pPr>
        <w:r>
          <w:rPr/>
          <w:fldChar w:fldCharType="begin"/>
        </w:r>
        <w:r>
          <w:rPr/>
          <w:instrText> PAGE </w:instrText>
        </w:r>
        <w:r>
          <w:rPr/>
          <w:fldChar w:fldCharType="separate"/>
        </w:r>
        <w:r>
          <w:rPr/>
          <w:t>34</w:t>
        </w:r>
        <w:r>
          <w:rPr/>
          <w:fldChar w:fldCharType="end"/>
        </w:r>
      </w:p>
      <w:p>
        <w:pPr>
          <w:pStyle w:val="Style34"/>
          <w:rPr/>
        </w:pPr>
        <w:r>
          <w:rPr/>
        </w:r>
      </w:p>
    </w:sdtContent>
  </w:sdt>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48840338"/>
    </w:sdtPr>
    <w:sdtContent>
      <w:p>
        <w:pPr>
          <w:pStyle w:val="Style34"/>
          <w:jc w:val="right"/>
          <w:rPr/>
        </w:pPr>
        <w:r>
          <w:rPr/>
          <w:fldChar w:fldCharType="begin"/>
        </w:r>
        <w:r>
          <w:rPr/>
          <w:instrText> PAGE </w:instrText>
        </w:r>
        <w:r>
          <w:rPr/>
          <w:fldChar w:fldCharType="separate"/>
        </w:r>
        <w:r>
          <w:rPr/>
          <w:t>36</w:t>
        </w:r>
        <w:r>
          <w:rPr/>
          <w:fldChar w:fldCharType="end"/>
        </w:r>
      </w:p>
      <w:p>
        <w:pPr>
          <w:pStyle w:val="Style34"/>
          <w:rPr/>
        </w:pPr>
        <w:r>
          <w:rPr/>
        </w:r>
      </w:p>
    </w:sdtContent>
  </w:sdt>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57494380"/>
    </w:sdtPr>
    <w:sdtContent>
      <w:p>
        <w:pPr>
          <w:pStyle w:val="Style34"/>
          <w:jc w:val="right"/>
          <w:rPr/>
        </w:pPr>
        <w:r>
          <w:rPr/>
          <w:fldChar w:fldCharType="begin"/>
        </w:r>
        <w:r>
          <w:rPr/>
          <w:instrText> PAGE </w:instrText>
        </w:r>
        <w:r>
          <w:rPr/>
          <w:fldChar w:fldCharType="separate"/>
        </w:r>
        <w:r>
          <w:rPr/>
          <w:t>37</w:t>
        </w:r>
        <w:r>
          <w:rPr/>
          <w:fldChar w:fldCharType="end"/>
        </w:r>
      </w:p>
      <w:p>
        <w:pPr>
          <w:pStyle w:val="Style34"/>
          <w:rPr/>
        </w:pPr>
        <w:r>
          <w:rPr/>
        </w:r>
      </w:p>
    </w:sdtContent>
  </w:sdt>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01076079"/>
    </w:sdtPr>
    <w:sdtContent>
      <w:p>
        <w:pPr>
          <w:pStyle w:val="Style34"/>
          <w:jc w:val="right"/>
          <w:rPr/>
        </w:pPr>
        <w:r>
          <w:rPr/>
          <w:fldChar w:fldCharType="begin"/>
        </w:r>
        <w:r>
          <w:rPr/>
          <w:instrText> PAGE </w:instrText>
        </w:r>
        <w:r>
          <w:rPr/>
          <w:fldChar w:fldCharType="separate"/>
        </w:r>
        <w:r>
          <w:rPr/>
          <w:t>38</w:t>
        </w:r>
        <w:r>
          <w:rPr/>
          <w:fldChar w:fldCharType="end"/>
        </w:r>
      </w:p>
      <w:p>
        <w:pPr>
          <w:pStyle w:val="Style34"/>
          <w:rPr/>
        </w:pPr>
        <w:r>
          <w:rPr/>
        </w:r>
      </w:p>
    </w:sdtContent>
  </w:sdt>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71407783"/>
    </w:sdtPr>
    <w:sdtContent>
      <w:p>
        <w:pPr>
          <w:pStyle w:val="Style34"/>
          <w:jc w:val="right"/>
          <w:rPr/>
        </w:pPr>
        <w:r>
          <w:rPr/>
          <w:fldChar w:fldCharType="begin"/>
        </w:r>
        <w:r>
          <w:rPr/>
          <w:instrText> PAGE </w:instrText>
        </w:r>
        <w:r>
          <w:rPr/>
          <w:fldChar w:fldCharType="separate"/>
        </w:r>
        <w:r>
          <w:rPr/>
          <w:t>43</w:t>
        </w:r>
        <w:r>
          <w:rPr/>
          <w:fldChar w:fldCharType="end"/>
        </w:r>
      </w:p>
      <w:p>
        <w:pPr>
          <w:pStyle w:val="Style34"/>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88655468"/>
    </w:sdtPr>
    <w:sdtContent>
      <w:p>
        <w:pPr>
          <w:pStyle w:val="Style34"/>
          <w:jc w:val="right"/>
          <w:rPr/>
        </w:pPr>
        <w:r>
          <w:rPr/>
          <w:fldChar w:fldCharType="begin"/>
        </w:r>
        <w:r>
          <w:rPr/>
          <w:instrText> PAGE </w:instrText>
        </w:r>
        <w:r>
          <w:rPr/>
          <w:fldChar w:fldCharType="separate"/>
        </w:r>
        <w:r>
          <w:rPr/>
          <w:t>15</w:t>
        </w:r>
        <w:r>
          <w:rPr/>
          <w:fldChar w:fldCharType="end"/>
        </w:r>
      </w:p>
      <w:p>
        <w:pPr>
          <w:pStyle w:val="Style34"/>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44519170"/>
    </w:sdtPr>
    <w:sdtContent>
      <w:p>
        <w:pPr>
          <w:pStyle w:val="Style34"/>
          <w:jc w:val="right"/>
          <w:rPr/>
        </w:pPr>
        <w:r>
          <w:rPr/>
          <w:fldChar w:fldCharType="begin"/>
        </w:r>
        <w:r>
          <w:rPr/>
          <w:instrText> PAGE </w:instrText>
        </w:r>
        <w:r>
          <w:rPr/>
          <w:fldChar w:fldCharType="separate"/>
        </w:r>
        <w:r>
          <w:rPr/>
          <w:t>16</w:t>
        </w:r>
        <w:r>
          <w:rPr/>
          <w:fldChar w:fldCharType="end"/>
        </w:r>
      </w:p>
      <w:p>
        <w:pPr>
          <w:pStyle w:val="Style34"/>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09608629"/>
    </w:sdtPr>
    <w:sdtContent>
      <w:p>
        <w:pPr>
          <w:pStyle w:val="Style34"/>
          <w:jc w:val="right"/>
          <w:rPr/>
        </w:pPr>
        <w:r>
          <w:rPr/>
          <w:fldChar w:fldCharType="begin"/>
        </w:r>
        <w:r>
          <w:rPr/>
          <w:instrText> PAGE </w:instrText>
        </w:r>
        <w:r>
          <w:rPr/>
          <w:fldChar w:fldCharType="separate"/>
        </w:r>
        <w:r>
          <w:rPr/>
          <w:t>19</w:t>
        </w:r>
        <w:r>
          <w:rPr/>
          <w:fldChar w:fldCharType="end"/>
        </w:r>
      </w:p>
      <w:p>
        <w:pPr>
          <w:pStyle w:val="Style34"/>
          <w:rPr/>
        </w:pPr>
        <w:r>
          <w:rPr/>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145708251"/>
    </w:sdtPr>
    <w:sdtContent>
      <w:p>
        <w:pPr>
          <w:pStyle w:val="Style34"/>
          <w:jc w:val="right"/>
          <w:rPr/>
        </w:pPr>
        <w:r>
          <w:rPr/>
          <w:fldChar w:fldCharType="begin"/>
        </w:r>
        <w:r>
          <w:rPr/>
          <w:instrText> PAGE </w:instrText>
        </w:r>
        <w:r>
          <w:rPr/>
          <w:fldChar w:fldCharType="separate"/>
        </w:r>
        <w:r>
          <w:rPr/>
          <w:t>17</w:t>
        </w:r>
        <w:r>
          <w:rPr/>
          <w:fldChar w:fldCharType="end"/>
        </w:r>
      </w:p>
      <w:p>
        <w:pPr>
          <w:pStyle w:val="Style34"/>
          <w:rPr/>
        </w:pPr>
        <w:r>
          <w:rPr/>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94374741"/>
    </w:sdtPr>
    <w:sdtContent>
      <w:p>
        <w:pPr>
          <w:pStyle w:val="Style34"/>
          <w:jc w:val="right"/>
          <w:rPr/>
        </w:pPr>
        <w:r>
          <w:rPr/>
          <w:fldChar w:fldCharType="begin"/>
        </w:r>
        <w:r>
          <w:rPr/>
          <w:instrText> PAGE </w:instrText>
        </w:r>
        <w:r>
          <w:rPr/>
          <w:fldChar w:fldCharType="separate"/>
        </w:r>
        <w:r>
          <w:rPr/>
          <w:t>20</w:t>
        </w:r>
        <w:r>
          <w:rPr/>
          <w:fldChar w:fldCharType="end"/>
        </w:r>
      </w:p>
      <w:p>
        <w:pPr>
          <w:pStyle w:val="Style34"/>
          <w:rPr/>
        </w:pPr>
        <w:r>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88461140"/>
    </w:sdtPr>
    <w:sdtContent>
      <w:p>
        <w:pPr>
          <w:pStyle w:val="Style34"/>
          <w:jc w:val="right"/>
          <w:rPr/>
        </w:pPr>
        <w:r>
          <w:rPr/>
          <w:fldChar w:fldCharType="begin"/>
        </w:r>
        <w:r>
          <w:rPr/>
          <w:instrText> PAGE </w:instrText>
        </w:r>
        <w:r>
          <w:rPr/>
          <w:fldChar w:fldCharType="separate"/>
        </w:r>
        <w:r>
          <w:rPr/>
          <w:t>23</w:t>
        </w:r>
        <w:r>
          <w:rPr/>
          <w:fldChar w:fldCharType="end"/>
        </w:r>
      </w:p>
      <w:p>
        <w:pPr>
          <w:pStyle w:val="Style34"/>
          <w:rPr/>
        </w:pPr>
        <w:r>
          <w:rPr/>
        </w:r>
      </w:p>
    </w:sdtContent>
  </w:sdt>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62114565"/>
    </w:sdtPr>
    <w:sdtContent>
      <w:p>
        <w:pPr>
          <w:pStyle w:val="Style34"/>
          <w:jc w:val="right"/>
          <w:rPr/>
        </w:pPr>
        <w:r>
          <w:rPr/>
          <w:fldChar w:fldCharType="begin"/>
        </w:r>
        <w:r>
          <w:rPr/>
          <w:instrText> PAGE </w:instrText>
        </w:r>
        <w:r>
          <w:rPr/>
          <w:fldChar w:fldCharType="separate"/>
        </w:r>
        <w:r>
          <w:rPr/>
          <w:t>24</w:t>
        </w:r>
        <w:r>
          <w:rPr/>
          <w:fldChar w:fldCharType="end"/>
        </w:r>
      </w:p>
      <w:p>
        <w:pPr>
          <w:pStyle w:val="Style34"/>
          <w:rPr/>
        </w:pPr>
        <w:r>
          <w:rPr/>
        </w:r>
      </w:p>
    </w:sdtContent>
  </w:sdt>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88468889"/>
    </w:sdtPr>
    <w:sdtContent>
      <w:p>
        <w:pPr>
          <w:pStyle w:val="Style34"/>
          <w:jc w:val="right"/>
          <w:rPr/>
        </w:pPr>
        <w:r>
          <w:rPr/>
          <w:fldChar w:fldCharType="begin"/>
        </w:r>
        <w:r>
          <w:rPr/>
          <w:instrText> PAGE </w:instrText>
        </w:r>
        <w:r>
          <w:rPr/>
          <w:fldChar w:fldCharType="separate"/>
        </w:r>
        <w:r>
          <w:rPr/>
          <w:t>33</w:t>
        </w:r>
        <w:r>
          <w:rPr/>
          <w:fldChar w:fldCharType="end"/>
        </w:r>
      </w:p>
      <w:p>
        <w:pPr>
          <w:pStyle w:val="Style34"/>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2.1.2.%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8"/>
        <w:spacing w:val="0"/>
        <w:i w:val="false"/>
        <w:u w:val="none"/>
        <w:b w:val="false"/>
        <w:szCs w:val="28"/>
        <w:iCs w:val="false"/>
        <w:bCs w:val="false"/>
        <w:w w:val="100"/>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decimal"/>
      <w:lvlText w:val="2.1.2.%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decimal"/>
      <w:lvlText w:val="2.1.3.%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decimal"/>
      <w:lvlText w:val="2.2.1.%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8"/>
        <w:spacing w:val="0"/>
        <w:i w:val="false"/>
        <w:u w:val="none"/>
        <w:b w:val="false"/>
        <w:szCs w:val="28"/>
        <w:iCs w:val="false"/>
        <w:bCs w:val="false"/>
        <w:w w:val="100"/>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decimal"/>
      <w:lvlText w:val="3.1.%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decimal"/>
      <w:lvlText w:val="3.2.%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decimal"/>
      <w:lvlText w:val="8.%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decimal"/>
      <w:lvlText w:val="10.%1."/>
      <w:lvlJc w:val="left"/>
      <w:pPr>
        <w:tabs>
          <w:tab w:val="num" w:pos="0"/>
        </w:tabs>
        <w:ind w:left="0" w:hanging="0"/>
      </w:pPr>
      <w:rPr>
        <w:smallCaps w:val="false"/>
        <w:caps w:val="false"/>
        <w:dstrike w:val="false"/>
        <w:strike w:val="false"/>
        <w:sz w:val="28"/>
        <w:spacing w:val="0"/>
        <w:i w:val="false"/>
        <w:u w:val="none"/>
        <w:b w:val="fals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06b7a"/>
    <w:pPr>
      <w:widowControl/>
      <w:suppressAutoHyphens w:val="false"/>
      <w:bidi w:val="0"/>
      <w:spacing w:lineRule="auto" w:line="276" w:before="0" w:after="0"/>
      <w:ind w:firstLine="709"/>
      <w:jc w:val="both"/>
    </w:pPr>
    <w:rPr>
      <w:rFonts w:ascii="Times New Roman" w:hAnsi="Times New Roman" w:eastAsia="Calibri" w:cs="" w:cstheme="minorBidi" w:eastAsiaTheme="minorHAnsi"/>
      <w:color w:val="auto"/>
      <w:kern w:val="0"/>
      <w:sz w:val="26"/>
      <w:szCs w:val="22"/>
      <w:lang w:val="ru-RU" w:eastAsia="en-US" w:bidi="ar-SA"/>
    </w:rPr>
  </w:style>
  <w:style w:type="paragraph" w:styleId="1">
    <w:name w:val="Heading 1"/>
    <w:basedOn w:val="Normal"/>
    <w:next w:val="Normal"/>
    <w:link w:val="10"/>
    <w:uiPriority w:val="9"/>
    <w:qFormat/>
    <w:rsid w:val="008d2e9e"/>
    <w:pPr>
      <w:keepNext w:val="true"/>
      <w:keepLines/>
      <w:spacing w:before="360" w:after="0"/>
      <w:outlineLvl w:val="0"/>
    </w:pPr>
    <w:rPr>
      <w:rFonts w:eastAsia="" w:cs="" w:cstheme="majorBidi" w:eastAsiaTheme="majorEastAsia"/>
      <w:b/>
      <w:bCs/>
      <w:szCs w:val="28"/>
    </w:rPr>
  </w:style>
  <w:style w:type="paragraph" w:styleId="2">
    <w:name w:val="Heading 2"/>
    <w:basedOn w:val="Normal"/>
    <w:next w:val="Normal"/>
    <w:link w:val="20"/>
    <w:autoRedefine/>
    <w:uiPriority w:val="9"/>
    <w:unhideWhenUsed/>
    <w:qFormat/>
    <w:rsid w:val="008d2e9e"/>
    <w:pPr>
      <w:keepNext w:val="true"/>
      <w:keepLines/>
      <w:spacing w:before="240" w:after="0"/>
      <w:outlineLvl w:val="1"/>
    </w:pPr>
    <w:rPr>
      <w:rFonts w:eastAsia="" w:cs="" w:cstheme="majorBidi" w:eastAsiaTheme="majorEastAsia"/>
      <w:b/>
      <w:bCs/>
      <w:szCs w:val="26"/>
    </w:rPr>
  </w:style>
  <w:style w:type="paragraph" w:styleId="3">
    <w:name w:val="Heading 3"/>
    <w:basedOn w:val="Normal"/>
    <w:next w:val="Normal"/>
    <w:link w:val="30"/>
    <w:uiPriority w:val="9"/>
    <w:unhideWhenUsed/>
    <w:qFormat/>
    <w:rsid w:val="00014c7f"/>
    <w:pPr>
      <w:keepNext w:val="true"/>
      <w:spacing w:lineRule="auto" w:line="240" w:before="360" w:after="60"/>
      <w:outlineLvl w:val="2"/>
    </w:pPr>
    <w:rPr>
      <w:rFonts w:eastAsia="Times New Roman" w:cs="Times New Roman"/>
      <w:b/>
      <w:bCs/>
      <w:szCs w:val="26"/>
      <w:lang w:eastAsia="ru-RU"/>
    </w:rPr>
  </w:style>
  <w:style w:type="paragraph" w:styleId="4">
    <w:name w:val="Heading 4"/>
    <w:basedOn w:val="Normal"/>
    <w:next w:val="Normal"/>
    <w:link w:val="40"/>
    <w:uiPriority w:val="9"/>
    <w:unhideWhenUsed/>
    <w:qFormat/>
    <w:rsid w:val="00ee2b26"/>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5">
    <w:name w:val="Heading 5"/>
    <w:basedOn w:val="Normal"/>
    <w:next w:val="Normal"/>
    <w:link w:val="50"/>
    <w:qFormat/>
    <w:rsid w:val="00014c7f"/>
    <w:pPr>
      <w:widowControl w:val="false"/>
      <w:tabs>
        <w:tab w:val="clear" w:pos="708"/>
        <w:tab w:val="left" w:pos="2520" w:leader="none"/>
      </w:tabs>
      <w:suppressAutoHyphens w:val="true"/>
      <w:spacing w:lineRule="auto" w:line="240" w:before="240" w:after="60"/>
      <w:ind w:left="2520" w:hanging="1080"/>
      <w:outlineLvl w:val="4"/>
    </w:pPr>
    <w:rPr>
      <w:rFonts w:eastAsia="Times New Roman" w:cs="Times New Roman"/>
      <w:b/>
      <w:bCs/>
      <w:i/>
      <w:iCs/>
      <w:szCs w:val="26"/>
      <w:lang w:eastAsia="ru-RU"/>
    </w:rPr>
  </w:style>
  <w:style w:type="paragraph" w:styleId="6">
    <w:name w:val="Heading 6"/>
    <w:basedOn w:val="Normal"/>
    <w:next w:val="Normal"/>
    <w:link w:val="60"/>
    <w:uiPriority w:val="9"/>
    <w:unhideWhenUsed/>
    <w:qFormat/>
    <w:rsid w:val="00ee2b26"/>
    <w:pPr>
      <w:keepNext w:val="true"/>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paragraph" w:styleId="7">
    <w:name w:val="Heading 7"/>
    <w:basedOn w:val="Normal"/>
    <w:next w:val="Normal"/>
    <w:link w:val="70"/>
    <w:uiPriority w:val="9"/>
    <w:unhideWhenUsed/>
    <w:qFormat/>
    <w:rsid w:val="00014c7f"/>
    <w:pPr>
      <w:keepNext w:val="true"/>
      <w:keepLines/>
      <w:spacing w:lineRule="auto" w:line="240" w:before="200" w:after="120"/>
      <w:outlineLvl w:val="6"/>
    </w:pPr>
    <w:rPr>
      <w:rFonts w:ascii="Cambria" w:hAnsi="Cambria" w:eastAsia="Times New Roman" w:cs="Times New Roman"/>
      <w:i/>
      <w:iCs/>
      <w:color w:val="404040"/>
      <w:lang w:eastAsia="ru-RU"/>
    </w:rPr>
  </w:style>
  <w:style w:type="paragraph" w:styleId="8">
    <w:name w:val="Heading 8"/>
    <w:basedOn w:val="Normal"/>
    <w:next w:val="Normal"/>
    <w:link w:val="80"/>
    <w:uiPriority w:val="9"/>
    <w:semiHidden/>
    <w:unhideWhenUsed/>
    <w:qFormat/>
    <w:rsid w:val="008a7c2b"/>
    <w:pPr>
      <w:keepNext w:val="true"/>
      <w:keepLines/>
      <w:spacing w:before="200" w:after="0"/>
      <w:outlineLvl w:val="7"/>
    </w:pPr>
    <w:rPr>
      <w:rFonts w:ascii="Cambria" w:hAnsi="Cambria" w:eastAsia="" w:cs="" w:asciiTheme="majorHAnsi" w:cstheme="majorBidi" w:eastAsiaTheme="majorEastAsia" w:hAnsiTheme="majorHAnsi"/>
      <w:color w:val="404040" w:themeColor="text1" w:themeTint="bf"/>
      <w:sz w:val="20"/>
      <w:szCs w:val="20"/>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8d2e9e"/>
    <w:rPr>
      <w:rFonts w:ascii="Times New Roman" w:hAnsi="Times New Roman" w:eastAsia="" w:cs="" w:cstheme="majorBidi" w:eastAsiaTheme="majorEastAsia"/>
      <w:b/>
      <w:bCs/>
      <w:sz w:val="26"/>
      <w:szCs w:val="28"/>
    </w:rPr>
  </w:style>
  <w:style w:type="character" w:styleId="21" w:customStyle="1">
    <w:name w:val="Заголовок 2 Знак"/>
    <w:basedOn w:val="DefaultParagraphFont"/>
    <w:link w:val="2"/>
    <w:uiPriority w:val="9"/>
    <w:qFormat/>
    <w:rsid w:val="008d2e9e"/>
    <w:rPr>
      <w:rFonts w:ascii="Times New Roman" w:hAnsi="Times New Roman" w:eastAsia="" w:cs="" w:cstheme="majorBidi" w:eastAsiaTheme="majorEastAsia"/>
      <w:b/>
      <w:bCs/>
      <w:sz w:val="26"/>
      <w:szCs w:val="26"/>
    </w:rPr>
  </w:style>
  <w:style w:type="character" w:styleId="41" w:customStyle="1">
    <w:name w:val="Заголовок 4 Знак"/>
    <w:basedOn w:val="DefaultParagraphFont"/>
    <w:link w:val="4"/>
    <w:uiPriority w:val="9"/>
    <w:qFormat/>
    <w:rsid w:val="00ee2b26"/>
    <w:rPr>
      <w:rFonts w:ascii="Cambria" w:hAnsi="Cambria" w:eastAsia="" w:cs="" w:asciiTheme="majorHAnsi" w:cstheme="majorBidi" w:eastAsiaTheme="majorEastAsia" w:hAnsiTheme="majorHAnsi"/>
      <w:b/>
      <w:bCs/>
      <w:i/>
      <w:iCs/>
      <w:color w:val="4F81BD" w:themeColor="accent1"/>
    </w:rPr>
  </w:style>
  <w:style w:type="character" w:styleId="61" w:customStyle="1">
    <w:name w:val="Заголовок 6 Знак"/>
    <w:basedOn w:val="DefaultParagraphFont"/>
    <w:link w:val="6"/>
    <w:uiPriority w:val="9"/>
    <w:qFormat/>
    <w:rsid w:val="00ee2b26"/>
    <w:rPr>
      <w:rFonts w:ascii="Cambria" w:hAnsi="Cambria" w:eastAsia="" w:cs="" w:asciiTheme="majorHAnsi" w:cstheme="majorBidi" w:eastAsiaTheme="majorEastAsia" w:hAnsiTheme="majorHAnsi"/>
      <w:i/>
      <w:iCs/>
      <w:color w:val="243F60" w:themeColor="accent1" w:themeShade="7f"/>
    </w:rPr>
  </w:style>
  <w:style w:type="character" w:styleId="Style6">
    <w:name w:val="Интернет-ссылка"/>
    <w:basedOn w:val="DefaultParagraphFont"/>
    <w:uiPriority w:val="99"/>
    <w:unhideWhenUsed/>
    <w:rsid w:val="00590078"/>
    <w:rPr>
      <w:color w:val="0000FF" w:themeColor="hyperlink"/>
      <w:u w:val="single"/>
    </w:rPr>
  </w:style>
  <w:style w:type="character" w:styleId="SubtleReference">
    <w:name w:val="Subtle Reference"/>
    <w:basedOn w:val="DefaultParagraphFont"/>
    <w:uiPriority w:val="31"/>
    <w:qFormat/>
    <w:rsid w:val="00590078"/>
    <w:rPr>
      <w:rFonts w:ascii="Times New Roman" w:hAnsi="Times New Roman"/>
      <w:strike w:val="false"/>
      <w:dstrike w:val="false"/>
      <w:color w:val="auto"/>
      <w:position w:val="0"/>
      <w:sz w:val="24"/>
      <w:sz w:val="24"/>
      <w:vertAlign w:val="baseline"/>
    </w:rPr>
  </w:style>
  <w:style w:type="character" w:styleId="Style7" w:customStyle="1">
    <w:name w:val="Текст выноски Знак"/>
    <w:basedOn w:val="DefaultParagraphFont"/>
    <w:link w:val="a7"/>
    <w:uiPriority w:val="99"/>
    <w:semiHidden/>
    <w:qFormat/>
    <w:rsid w:val="006e5b4b"/>
    <w:rPr>
      <w:rFonts w:ascii="Tahoma" w:hAnsi="Tahoma" w:cs="Tahoma"/>
      <w:sz w:val="16"/>
      <w:szCs w:val="16"/>
    </w:rPr>
  </w:style>
  <w:style w:type="character" w:styleId="31" w:customStyle="1">
    <w:name w:val="Заголовок 3 Знак"/>
    <w:basedOn w:val="DefaultParagraphFont"/>
    <w:link w:val="3"/>
    <w:uiPriority w:val="9"/>
    <w:qFormat/>
    <w:rsid w:val="00014c7f"/>
    <w:rPr>
      <w:rFonts w:ascii="Times New Roman" w:hAnsi="Times New Roman" w:eastAsia="Times New Roman" w:cs="Times New Roman"/>
      <w:b/>
      <w:bCs/>
      <w:sz w:val="26"/>
      <w:szCs w:val="26"/>
      <w:lang w:eastAsia="ru-RU"/>
    </w:rPr>
  </w:style>
  <w:style w:type="character" w:styleId="51" w:customStyle="1">
    <w:name w:val="Заголовок 5 Знак"/>
    <w:basedOn w:val="DefaultParagraphFont"/>
    <w:link w:val="5"/>
    <w:qFormat/>
    <w:rsid w:val="00014c7f"/>
    <w:rPr>
      <w:rFonts w:ascii="Times New Roman" w:hAnsi="Times New Roman" w:eastAsia="Times New Roman" w:cs="Times New Roman"/>
      <w:b/>
      <w:bCs/>
      <w:i/>
      <w:iCs/>
      <w:sz w:val="26"/>
      <w:szCs w:val="26"/>
      <w:lang w:eastAsia="ru-RU"/>
    </w:rPr>
  </w:style>
  <w:style w:type="character" w:styleId="71" w:customStyle="1">
    <w:name w:val="Заголовок 7 Знак"/>
    <w:basedOn w:val="DefaultParagraphFont"/>
    <w:link w:val="7"/>
    <w:uiPriority w:val="9"/>
    <w:qFormat/>
    <w:rsid w:val="00014c7f"/>
    <w:rPr>
      <w:rFonts w:ascii="Cambria" w:hAnsi="Cambria" w:eastAsia="Times New Roman" w:cs="Times New Roman"/>
      <w:i/>
      <w:iCs/>
      <w:color w:val="404040"/>
      <w:sz w:val="26"/>
      <w:lang w:eastAsia="ru-RU"/>
    </w:rPr>
  </w:style>
  <w:style w:type="character" w:styleId="Style8" w:customStyle="1">
    <w:name w:val="Абзац Знак"/>
    <w:basedOn w:val="DefaultParagraphFont"/>
    <w:link w:val="a9"/>
    <w:uiPriority w:val="99"/>
    <w:qFormat/>
    <w:locked/>
    <w:rsid w:val="00014c7f"/>
    <w:rPr>
      <w:rFonts w:ascii="Times New Roman" w:hAnsi="Times New Roman" w:eastAsia="Times New Roman" w:cs="Times New Roman"/>
      <w:sz w:val="24"/>
      <w:szCs w:val="24"/>
      <w:lang w:eastAsia="ru-RU"/>
    </w:rPr>
  </w:style>
  <w:style w:type="character" w:styleId="Style9" w:customStyle="1">
    <w:name w:val="Основной текст с отступом Знак"/>
    <w:basedOn w:val="DefaultParagraphFont"/>
    <w:link w:val="ab"/>
    <w:qFormat/>
    <w:rsid w:val="00014c7f"/>
    <w:rPr>
      <w:rFonts w:ascii="Times New Roman" w:hAnsi="Times New Roman" w:eastAsia="Times New Roman" w:cs="Times New Roman"/>
      <w:sz w:val="28"/>
      <w:szCs w:val="20"/>
      <w:lang w:eastAsia="ru-RU"/>
    </w:rPr>
  </w:style>
  <w:style w:type="character" w:styleId="Style10" w:customStyle="1">
    <w:name w:val="Название Знак"/>
    <w:basedOn w:val="DefaultParagraphFont"/>
    <w:link w:val="ae"/>
    <w:uiPriority w:val="10"/>
    <w:qFormat/>
    <w:rsid w:val="00014c7f"/>
    <w:rPr>
      <w:rFonts w:ascii="Times New Roman" w:hAnsi="Times New Roman" w:eastAsia="Times New Roman" w:cs="Times New Roman"/>
      <w:bCs/>
      <w:kern w:val="2"/>
      <w:szCs w:val="32"/>
      <w:lang w:eastAsia="ru-RU"/>
    </w:rPr>
  </w:style>
  <w:style w:type="character" w:styleId="Style11" w:customStyle="1">
    <w:name w:val="Верхний колонтитул Знак"/>
    <w:basedOn w:val="DefaultParagraphFont"/>
    <w:link w:val="af0"/>
    <w:uiPriority w:val="99"/>
    <w:qFormat/>
    <w:rsid w:val="00014c7f"/>
    <w:rPr/>
  </w:style>
  <w:style w:type="character" w:styleId="Style12" w:customStyle="1">
    <w:name w:val="Нижний колонтитул Знак"/>
    <w:basedOn w:val="DefaultParagraphFont"/>
    <w:link w:val="af2"/>
    <w:uiPriority w:val="99"/>
    <w:qFormat/>
    <w:rsid w:val="00014c7f"/>
    <w:rPr/>
  </w:style>
  <w:style w:type="character" w:styleId="22" w:customStyle="1">
    <w:name w:val="Основной текст с отступом 2 Знак"/>
    <w:basedOn w:val="DefaultParagraphFont"/>
    <w:link w:val="22"/>
    <w:semiHidden/>
    <w:qFormat/>
    <w:rsid w:val="00014c7f"/>
    <w:rPr>
      <w:rFonts w:ascii="Times New Roman" w:hAnsi="Times New Roman" w:eastAsia="Times New Roman" w:cs="Times New Roman"/>
      <w:sz w:val="24"/>
      <w:szCs w:val="24"/>
      <w:lang w:eastAsia="ru-RU"/>
    </w:rPr>
  </w:style>
  <w:style w:type="character" w:styleId="Style13" w:customStyle="1">
    <w:name w:val="Основной текст Знак"/>
    <w:basedOn w:val="DefaultParagraphFont"/>
    <w:link w:val="af5"/>
    <w:uiPriority w:val="99"/>
    <w:semiHidden/>
    <w:qFormat/>
    <w:rsid w:val="00014c7f"/>
    <w:rPr>
      <w:rFonts w:ascii="Calibri" w:hAnsi="Calibri" w:eastAsia="Times New Roman" w:cs="Times New Roman"/>
      <w:lang w:eastAsia="ru-RU"/>
    </w:rPr>
  </w:style>
  <w:style w:type="character" w:styleId="Style14" w:customStyle="1">
    <w:name w:val="Подзаголовок Знак"/>
    <w:basedOn w:val="DefaultParagraphFont"/>
    <w:link w:val="af8"/>
    <w:uiPriority w:val="11"/>
    <w:qFormat/>
    <w:rsid w:val="00014c7f"/>
    <w:rPr>
      <w:rFonts w:ascii="Times New Roman" w:hAnsi="Times New Roman" w:eastAsia="Times New Roman" w:cs="Times New Roman"/>
      <w:sz w:val="24"/>
      <w:szCs w:val="24"/>
      <w:lang w:eastAsia="ru-RU"/>
    </w:rPr>
  </w:style>
  <w:style w:type="character" w:styleId="Strong">
    <w:name w:val="Strong"/>
    <w:basedOn w:val="DefaultParagraphFont"/>
    <w:uiPriority w:val="22"/>
    <w:qFormat/>
    <w:rsid w:val="00014c7f"/>
    <w:rPr>
      <w:b/>
      <w:bCs/>
    </w:rPr>
  </w:style>
  <w:style w:type="character" w:styleId="Style15">
    <w:name w:val="Посещённая гиперссылка"/>
    <w:basedOn w:val="DefaultParagraphFont"/>
    <w:uiPriority w:val="99"/>
    <w:semiHidden/>
    <w:unhideWhenUsed/>
    <w:rsid w:val="00014c7f"/>
    <w:rPr>
      <w:color w:val="800080"/>
      <w:u w:val="single"/>
    </w:rPr>
  </w:style>
  <w:style w:type="character" w:styleId="Annotationreference">
    <w:name w:val="annotation reference"/>
    <w:basedOn w:val="DefaultParagraphFont"/>
    <w:uiPriority w:val="99"/>
    <w:semiHidden/>
    <w:unhideWhenUsed/>
    <w:qFormat/>
    <w:rsid w:val="00b4277e"/>
    <w:rPr>
      <w:sz w:val="16"/>
      <w:szCs w:val="16"/>
    </w:rPr>
  </w:style>
  <w:style w:type="character" w:styleId="Style16" w:customStyle="1">
    <w:name w:val="Текст примечания Знак"/>
    <w:basedOn w:val="DefaultParagraphFont"/>
    <w:link w:val="afe"/>
    <w:uiPriority w:val="99"/>
    <w:semiHidden/>
    <w:qFormat/>
    <w:rsid w:val="00b4277e"/>
    <w:rPr>
      <w:rFonts w:ascii="Times New Roman" w:hAnsi="Times New Roman"/>
      <w:sz w:val="20"/>
      <w:szCs w:val="20"/>
    </w:rPr>
  </w:style>
  <w:style w:type="character" w:styleId="Style17" w:customStyle="1">
    <w:name w:val="Тема примечания Знак"/>
    <w:basedOn w:val="Style16"/>
    <w:link w:val="aff0"/>
    <w:uiPriority w:val="99"/>
    <w:semiHidden/>
    <w:qFormat/>
    <w:rsid w:val="00b4277e"/>
    <w:rPr>
      <w:rFonts w:ascii="Times New Roman" w:hAnsi="Times New Roman"/>
      <w:b/>
      <w:bCs/>
      <w:sz w:val="20"/>
      <w:szCs w:val="20"/>
    </w:rPr>
  </w:style>
  <w:style w:type="character" w:styleId="S10" w:customStyle="1">
    <w:name w:val="s_10"/>
    <w:basedOn w:val="DefaultParagraphFont"/>
    <w:qFormat/>
    <w:rsid w:val="00ba1f0c"/>
    <w:rPr/>
  </w:style>
  <w:style w:type="character" w:styleId="Appleconvertedspace" w:customStyle="1">
    <w:name w:val="apple-converted-space"/>
    <w:basedOn w:val="DefaultParagraphFont"/>
    <w:qFormat/>
    <w:rsid w:val="00ba1f0c"/>
    <w:rPr/>
  </w:style>
  <w:style w:type="character" w:styleId="81" w:customStyle="1">
    <w:name w:val="Заголовок 8 Знак"/>
    <w:basedOn w:val="DefaultParagraphFont"/>
    <w:link w:val="8"/>
    <w:uiPriority w:val="9"/>
    <w:qFormat/>
    <w:rsid w:val="008a7c2b"/>
    <w:rPr>
      <w:rFonts w:ascii="Cambria" w:hAnsi="Cambria" w:eastAsia="" w:cs="" w:asciiTheme="majorHAnsi" w:cstheme="majorBidi" w:eastAsiaTheme="majorEastAsia" w:hAnsiTheme="majorHAnsi"/>
      <w:color w:val="404040" w:themeColor="text1" w:themeTint="bf"/>
      <w:sz w:val="20"/>
      <w:szCs w:val="20"/>
    </w:rPr>
  </w:style>
  <w:style w:type="character" w:styleId="Link" w:customStyle="1">
    <w:name w:val="link"/>
    <w:basedOn w:val="DefaultParagraphFont"/>
    <w:qFormat/>
    <w:rsid w:val="007076db"/>
    <w:rPr/>
  </w:style>
  <w:style w:type="character" w:styleId="Style18" w:customStyle="1">
    <w:name w:val="Подпись к таблице_"/>
    <w:basedOn w:val="DefaultParagraphFont"/>
    <w:link w:val="aff3"/>
    <w:qFormat/>
    <w:rsid w:val="002a6eb4"/>
    <w:rPr>
      <w:rFonts w:ascii="Times New Roman" w:hAnsi="Times New Roman" w:eastAsia="Times New Roman" w:cs="Times New Roman"/>
      <w:sz w:val="28"/>
      <w:szCs w:val="28"/>
      <w:shd w:fill="FFFFFF" w:val="clear"/>
    </w:rPr>
  </w:style>
  <w:style w:type="character" w:styleId="23" w:customStyle="1">
    <w:name w:val="Основной текст (2)_"/>
    <w:basedOn w:val="DefaultParagraphFont"/>
    <w:qFormat/>
    <w:rsid w:val="002a6eb4"/>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24" w:customStyle="1">
    <w:name w:val="Основной текст (2)"/>
    <w:basedOn w:val="23"/>
    <w:qFormat/>
    <w:rsid w:val="002a6eb4"/>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8"/>
      <w:szCs w:val="28"/>
      <w:u w:val="none"/>
      <w:lang w:val="ru-RU" w:eastAsia="ru-RU" w:bidi="ru-RU"/>
    </w:rPr>
  </w:style>
  <w:style w:type="character" w:styleId="Style19" w:customStyle="1">
    <w:name w:val="Колонтитул_"/>
    <w:basedOn w:val="DefaultParagraphFont"/>
    <w:link w:val="aff5"/>
    <w:qFormat/>
    <w:rsid w:val="00297c05"/>
    <w:rPr>
      <w:rFonts w:ascii="Times New Roman" w:hAnsi="Times New Roman" w:eastAsia="Times New Roman" w:cs="Times New Roman"/>
      <w:b/>
      <w:bCs/>
      <w:sz w:val="28"/>
      <w:szCs w:val="28"/>
      <w:shd w:fill="FFFFFF" w:val="clear"/>
    </w:rPr>
  </w:style>
  <w:style w:type="character" w:styleId="Style20" w:customStyle="1">
    <w:name w:val="Колонтитул + Не полужирный"/>
    <w:basedOn w:val="Style19"/>
    <w:qFormat/>
    <w:rsid w:val="00297c05"/>
    <w:rPr>
      <w:rFonts w:ascii="Times New Roman" w:hAnsi="Times New Roman" w:eastAsia="Times New Roman" w:cs="Times New Roman"/>
      <w:b/>
      <w:bCs/>
      <w:color w:val="000000"/>
      <w:spacing w:val="0"/>
      <w:w w:val="100"/>
      <w:sz w:val="28"/>
      <w:szCs w:val="28"/>
      <w:shd w:fill="FFFFFF" w:val="clear"/>
      <w:lang w:val="ru-RU" w:eastAsia="ru-RU" w:bidi="ru-RU"/>
    </w:rPr>
  </w:style>
  <w:style w:type="character" w:styleId="265pt" w:customStyle="1">
    <w:name w:val="Основной текст (2) + 6.5 pt"/>
    <w:basedOn w:val="23"/>
    <w:qFormat/>
    <w:rsid w:val="00803fe9"/>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3"/>
      <w:szCs w:val="13"/>
      <w:u w:val="none"/>
      <w:lang w:val="ru-RU" w:eastAsia="ru-RU" w:bidi="ru-RU"/>
    </w:rPr>
  </w:style>
  <w:style w:type="character" w:styleId="28pt" w:customStyle="1">
    <w:name w:val="Основной текст (2) + 8 pt;Полужирный"/>
    <w:basedOn w:val="23"/>
    <w:qFormat/>
    <w:rsid w:val="00803fe9"/>
    <w:rPr>
      <w:rFonts w:ascii="Times New Roman" w:hAnsi="Times New Roman" w:eastAsia="Times New Roman" w:cs="Times New Roman"/>
      <w:b/>
      <w:bCs/>
      <w:i w:val="false"/>
      <w:iCs w:val="false"/>
      <w:caps w:val="false"/>
      <w:smallCaps w:val="false"/>
      <w:strike w:val="false"/>
      <w:dstrike w:val="false"/>
      <w:color w:val="000000"/>
      <w:spacing w:val="0"/>
      <w:w w:val="100"/>
      <w:sz w:val="16"/>
      <w:szCs w:val="16"/>
      <w:u w:val="none"/>
      <w:lang w:val="ru-RU" w:eastAsia="ru-RU" w:bidi="ru-RU"/>
    </w:rPr>
  </w:style>
  <w:style w:type="character" w:styleId="245pt" w:customStyle="1">
    <w:name w:val="Основной текст (2) + 4.5 pt"/>
    <w:basedOn w:val="23"/>
    <w:qFormat/>
    <w:rsid w:val="00803fe9"/>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9"/>
      <w:szCs w:val="9"/>
      <w:u w:val="none"/>
      <w:lang w:val="ru-RU" w:eastAsia="ru-RU" w:bidi="ru-RU"/>
    </w:rPr>
  </w:style>
  <w:style w:type="character" w:styleId="25" w:customStyle="1">
    <w:name w:val="Основной текст (2) + Курсив"/>
    <w:basedOn w:val="23"/>
    <w:qFormat/>
    <w:rsid w:val="00cd25e4"/>
    <w:rPr>
      <w:rFonts w:ascii="Times New Roman" w:hAnsi="Times New Roman" w:eastAsia="Times New Roman" w:cs="Times New Roman"/>
      <w:b w:val="false"/>
      <w:bCs w:val="false"/>
      <w:i/>
      <w:iCs/>
      <w:caps w:val="false"/>
      <w:smallCaps w:val="false"/>
      <w:strike w:val="false"/>
      <w:dstrike w:val="false"/>
      <w:color w:val="000000"/>
      <w:spacing w:val="0"/>
      <w:w w:val="100"/>
      <w:sz w:val="28"/>
      <w:szCs w:val="28"/>
      <w:u w:val="none"/>
      <w:lang w:val="en-US" w:eastAsia="en-US" w:bidi="en-US"/>
    </w:rPr>
  </w:style>
  <w:style w:type="character" w:styleId="26" w:customStyle="1">
    <w:name w:val="Основной текст (2) + Курсив;Малые прописные"/>
    <w:basedOn w:val="23"/>
    <w:qFormat/>
    <w:rsid w:val="00cd25e4"/>
    <w:rPr>
      <w:rFonts w:ascii="Times New Roman" w:hAnsi="Times New Roman" w:eastAsia="Times New Roman" w:cs="Times New Roman"/>
      <w:b w:val="false"/>
      <w:bCs w:val="false"/>
      <w:i/>
      <w:iCs/>
      <w:smallCaps/>
      <w:strike w:val="false"/>
      <w:dstrike w:val="false"/>
      <w:color w:val="000000"/>
      <w:spacing w:val="0"/>
      <w:w w:val="100"/>
      <w:sz w:val="28"/>
      <w:szCs w:val="28"/>
      <w:u w:val="none"/>
      <w:lang w:val="en-US" w:eastAsia="en-US" w:bidi="en-US"/>
    </w:rPr>
  </w:style>
  <w:style w:type="character" w:styleId="2BookmanOldStyle105pt" w:customStyle="1">
    <w:name w:val="Основной текст (2) + Bookman Old Style;10.5 pt"/>
    <w:basedOn w:val="23"/>
    <w:qFormat/>
    <w:rsid w:val="00cd7acb"/>
    <w:rPr>
      <w:rFonts w:ascii="Bookman Old Style" w:hAnsi="Bookman Old Style" w:eastAsia="Bookman Old Style" w:cs="Bookman Old Style"/>
      <w:b/>
      <w:bCs/>
      <w:i w:val="false"/>
      <w:iCs w:val="false"/>
      <w:caps w:val="false"/>
      <w:smallCaps w:val="false"/>
      <w:strike w:val="false"/>
      <w:dstrike w:val="false"/>
      <w:color w:val="000000"/>
      <w:spacing w:val="0"/>
      <w:w w:val="100"/>
      <w:sz w:val="21"/>
      <w:szCs w:val="21"/>
      <w:u w:val="none"/>
      <w:lang w:val="ru-RU" w:eastAsia="ru-RU" w:bidi="ru-RU"/>
    </w:rPr>
  </w:style>
  <w:style w:type="character" w:styleId="2Georgia7pt" w:customStyle="1">
    <w:name w:val="Основной текст (2) + Georgia;7 pt;Полужирный;Курсив"/>
    <w:basedOn w:val="23"/>
    <w:qFormat/>
    <w:rsid w:val="00cd7acb"/>
    <w:rPr>
      <w:rFonts w:ascii="Georgia" w:hAnsi="Georgia" w:eastAsia="Georgia" w:cs="Georgia"/>
      <w:b/>
      <w:bCs/>
      <w:i/>
      <w:iCs/>
      <w:caps w:val="false"/>
      <w:smallCaps w:val="false"/>
      <w:strike w:val="false"/>
      <w:dstrike w:val="false"/>
      <w:color w:val="000000"/>
      <w:spacing w:val="0"/>
      <w:w w:val="100"/>
      <w:sz w:val="14"/>
      <w:szCs w:val="14"/>
      <w:u w:val="none"/>
      <w:lang w:val="ru-RU" w:eastAsia="ru-RU" w:bidi="ru-RU"/>
    </w:rPr>
  </w:style>
  <w:style w:type="character" w:styleId="27" w:customStyle="1">
    <w:name w:val="Основной текст (2) + Малые прописные"/>
    <w:basedOn w:val="23"/>
    <w:qFormat/>
    <w:rsid w:val="00cd7acb"/>
    <w:rPr>
      <w:rFonts w:ascii="Times New Roman" w:hAnsi="Times New Roman" w:eastAsia="Times New Roman" w:cs="Times New Roman"/>
      <w:b w:val="false"/>
      <w:bCs w:val="false"/>
      <w:i w:val="false"/>
      <w:iCs w:val="false"/>
      <w:smallCaps/>
      <w:strike w:val="false"/>
      <w:dstrike w:val="false"/>
      <w:color w:val="000000"/>
      <w:spacing w:val="0"/>
      <w:w w:val="100"/>
      <w:sz w:val="28"/>
      <w:szCs w:val="28"/>
      <w:u w:val="none"/>
      <w:lang w:val="en-US" w:eastAsia="en-US" w:bidi="en-US"/>
    </w:rPr>
  </w:style>
  <w:style w:type="character" w:styleId="213pt" w:customStyle="1">
    <w:name w:val="Основной текст (2) + 13 pt"/>
    <w:basedOn w:val="23"/>
    <w:qFormat/>
    <w:rsid w:val="00cd7acb"/>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6"/>
      <w:szCs w:val="26"/>
      <w:u w:val="none"/>
      <w:lang w:val="ru-RU" w:eastAsia="ru-RU" w:bidi="ru-RU"/>
    </w:rPr>
  </w:style>
  <w:style w:type="character" w:styleId="213pt1" w:customStyle="1">
    <w:name w:val="Основной текст (2) + 13 pt;Малые прописные"/>
    <w:basedOn w:val="23"/>
    <w:qFormat/>
    <w:rsid w:val="00cd7acb"/>
    <w:rPr>
      <w:rFonts w:ascii="Times New Roman" w:hAnsi="Times New Roman" w:eastAsia="Times New Roman" w:cs="Times New Roman"/>
      <w:b w:val="false"/>
      <w:bCs w:val="false"/>
      <w:i w:val="false"/>
      <w:iCs w:val="false"/>
      <w:smallCaps/>
      <w:strike w:val="false"/>
      <w:dstrike w:val="false"/>
      <w:color w:val="000000"/>
      <w:spacing w:val="0"/>
      <w:w w:val="100"/>
      <w:sz w:val="26"/>
      <w:szCs w:val="26"/>
      <w:u w:val="none"/>
      <w:lang w:val="en-US" w:eastAsia="en-US" w:bidi="en-US"/>
    </w:rPr>
  </w:style>
  <w:style w:type="character" w:styleId="28" w:customStyle="1">
    <w:name w:val="Заголовок №2_"/>
    <w:basedOn w:val="DefaultParagraphFont"/>
    <w:qFormat/>
    <w:rsid w:val="00cb2dca"/>
    <w:rPr>
      <w:rFonts w:ascii="Times New Roman" w:hAnsi="Times New Roman" w:eastAsia="Times New Roman" w:cs="Times New Roman"/>
      <w:b/>
      <w:bCs/>
      <w:i w:val="false"/>
      <w:iCs w:val="false"/>
      <w:caps w:val="false"/>
      <w:smallCaps w:val="false"/>
      <w:strike w:val="false"/>
      <w:dstrike w:val="false"/>
      <w:sz w:val="28"/>
      <w:szCs w:val="28"/>
      <w:u w:val="none"/>
    </w:rPr>
  </w:style>
  <w:style w:type="character" w:styleId="29" w:customStyle="1">
    <w:name w:val="Заголовок №2"/>
    <w:basedOn w:val="28"/>
    <w:qFormat/>
    <w:rsid w:val="00cb2dca"/>
    <w:rPr>
      <w:rFonts w:ascii="Times New Roman" w:hAnsi="Times New Roman" w:eastAsia="Times New Roman" w:cs="Times New Roman"/>
      <w:b/>
      <w:bCs/>
      <w:i w:val="false"/>
      <w:iCs w:val="false"/>
      <w:caps w:val="false"/>
      <w:smallCaps w:val="false"/>
      <w:strike w:val="false"/>
      <w:dstrike w:val="false"/>
      <w:color w:val="000000"/>
      <w:spacing w:val="0"/>
      <w:w w:val="100"/>
      <w:sz w:val="28"/>
      <w:szCs w:val="28"/>
      <w:u w:val="none"/>
      <w:lang w:val="ru-RU" w:eastAsia="ru-RU" w:bidi="ru-RU"/>
    </w:rPr>
  </w:style>
  <w:style w:type="character" w:styleId="Style21">
    <w:name w:val="Ссылка указателя"/>
    <w:qFormat/>
    <w:rPr/>
  </w:style>
  <w:style w:type="paragraph" w:styleId="Style22" w:customStyle="1">
    <w:name w:val="Заголовок"/>
    <w:next w:val="Style23"/>
    <w:qFormat/>
    <w:rsid w:val="00014c7f"/>
    <w:pPr>
      <w:widowControl w:val="false"/>
      <w:suppressAutoHyphens w:val="true"/>
      <w:bidi w:val="0"/>
      <w:spacing w:lineRule="auto" w:line="240" w:before="240" w:after="120"/>
      <w:jc w:val="right"/>
    </w:pPr>
    <w:rPr>
      <w:rFonts w:ascii="Times New Roman" w:hAnsi="Times New Roman" w:eastAsia="Arial" w:cs="Calibri"/>
      <w:b/>
      <w:bCs/>
      <w:color w:val="auto"/>
      <w:kern w:val="0"/>
      <w:sz w:val="28"/>
      <w:szCs w:val="28"/>
      <w:lang w:eastAsia="ar-SA" w:val="ru-RU" w:bidi="ar-SA"/>
    </w:rPr>
  </w:style>
  <w:style w:type="paragraph" w:styleId="Style23">
    <w:name w:val="Body Text"/>
    <w:basedOn w:val="Normal"/>
    <w:link w:val="af6"/>
    <w:uiPriority w:val="99"/>
    <w:semiHidden/>
    <w:unhideWhenUsed/>
    <w:rsid w:val="00014c7f"/>
    <w:pPr>
      <w:spacing w:lineRule="auto" w:line="240" w:before="240" w:after="120"/>
    </w:pPr>
    <w:rPr>
      <w:rFonts w:ascii="Calibri" w:hAnsi="Calibri" w:eastAsia="Times New Roman" w:cs="Times New Roman"/>
      <w:sz w:val="22"/>
      <w:lang w:eastAsia="ru-RU"/>
    </w:rPr>
  </w:style>
  <w:style w:type="paragraph" w:styleId="Style24">
    <w:name w:val="List"/>
    <w:basedOn w:val="Style23"/>
    <w:pPr/>
    <w:rPr>
      <w:rFonts w:cs="Lucida Sans"/>
    </w:rPr>
  </w:style>
  <w:style w:type="paragraph" w:styleId="Style25">
    <w:name w:val="Caption"/>
    <w:basedOn w:val="Normal"/>
    <w:qFormat/>
    <w:pPr>
      <w:suppressLineNumbers/>
      <w:spacing w:before="120" w:after="120"/>
    </w:pPr>
    <w:rPr>
      <w:rFonts w:cs="Lucida Sans"/>
      <w:i/>
      <w:iCs/>
      <w:sz w:val="24"/>
      <w:szCs w:val="24"/>
    </w:rPr>
  </w:style>
  <w:style w:type="paragraph" w:styleId="Style26">
    <w:name w:val="Указатель"/>
    <w:basedOn w:val="Normal"/>
    <w:qFormat/>
    <w:pPr>
      <w:suppressLineNumbers/>
    </w:pPr>
    <w:rPr>
      <w:rFonts w:cs="Lucida Sans"/>
      <w:lang w:val="zxx" w:eastAsia="zxx" w:bidi="zxx"/>
    </w:rPr>
  </w:style>
  <w:style w:type="paragraph" w:styleId="12">
    <w:name w:val="TOC 1"/>
    <w:basedOn w:val="Normal"/>
    <w:next w:val="Normal"/>
    <w:autoRedefine/>
    <w:uiPriority w:val="39"/>
    <w:unhideWhenUsed/>
    <w:qFormat/>
    <w:rsid w:val="00434790"/>
    <w:pPr>
      <w:tabs>
        <w:tab w:val="clear" w:pos="708"/>
        <w:tab w:val="left" w:pos="440" w:leader="none"/>
        <w:tab w:val="right" w:pos="10195" w:leader="dot"/>
      </w:tabs>
      <w:jc w:val="left"/>
    </w:pPr>
    <w:rPr/>
  </w:style>
  <w:style w:type="paragraph" w:styleId="210">
    <w:name w:val="TOC 2"/>
    <w:basedOn w:val="Normal"/>
    <w:next w:val="Normal"/>
    <w:autoRedefine/>
    <w:uiPriority w:val="39"/>
    <w:unhideWhenUsed/>
    <w:qFormat/>
    <w:rsid w:val="003802db"/>
    <w:pPr>
      <w:tabs>
        <w:tab w:val="clear" w:pos="708"/>
        <w:tab w:val="right" w:pos="10195" w:leader="dot"/>
      </w:tabs>
      <w:spacing w:before="0" w:after="100"/>
      <w:ind w:left="220" w:firstLine="709"/>
    </w:pPr>
    <w:rPr/>
  </w:style>
  <w:style w:type="paragraph" w:styleId="Style27">
    <w:name w:val="Index Heading"/>
    <w:basedOn w:val="Style22"/>
    <w:pPr/>
    <w:rPr/>
  </w:style>
  <w:style w:type="paragraph" w:styleId="Style28">
    <w:name w:val="TOC Heading"/>
    <w:basedOn w:val="1"/>
    <w:next w:val="Normal"/>
    <w:uiPriority w:val="39"/>
    <w:unhideWhenUsed/>
    <w:qFormat/>
    <w:rsid w:val="006e5b4b"/>
    <w:pPr>
      <w:jc w:val="left"/>
      <w:outlineLvl w:val="9"/>
    </w:pPr>
    <w:rPr>
      <w:rFonts w:ascii="Cambria" w:hAnsi="Cambria" w:asciiTheme="majorHAnsi" w:hAnsiTheme="majorHAnsi"/>
      <w:color w:val="365F91" w:themeColor="accent1" w:themeShade="bf"/>
    </w:rPr>
  </w:style>
  <w:style w:type="paragraph" w:styleId="BalloonText">
    <w:name w:val="Balloon Text"/>
    <w:basedOn w:val="Normal"/>
    <w:link w:val="a8"/>
    <w:uiPriority w:val="99"/>
    <w:semiHidden/>
    <w:unhideWhenUsed/>
    <w:qFormat/>
    <w:rsid w:val="006e5b4b"/>
    <w:pPr>
      <w:spacing w:lineRule="auto" w:line="240"/>
    </w:pPr>
    <w:rPr>
      <w:rFonts w:ascii="Tahoma" w:hAnsi="Tahoma" w:cs="Tahoma"/>
      <w:sz w:val="16"/>
      <w:szCs w:val="16"/>
    </w:rPr>
  </w:style>
  <w:style w:type="paragraph" w:styleId="32">
    <w:name w:val="TOC 3"/>
    <w:basedOn w:val="Normal"/>
    <w:next w:val="Normal"/>
    <w:autoRedefine/>
    <w:uiPriority w:val="39"/>
    <w:unhideWhenUsed/>
    <w:qFormat/>
    <w:rsid w:val="006e5b4b"/>
    <w:pPr>
      <w:spacing w:before="0" w:after="100"/>
      <w:ind w:left="440" w:firstLine="709"/>
      <w:jc w:val="left"/>
    </w:pPr>
    <w:rPr>
      <w:rFonts w:ascii="Calibri" w:hAnsi="Calibri" w:eastAsia="" w:asciiTheme="minorHAnsi" w:eastAsiaTheme="minorEastAsia" w:hAnsiTheme="minorHAnsi"/>
      <w:sz w:val="22"/>
    </w:rPr>
  </w:style>
  <w:style w:type="paragraph" w:styleId="Style29" w:customStyle="1">
    <w:name w:val="Абзац"/>
    <w:link w:val="aa"/>
    <w:uiPriority w:val="99"/>
    <w:qFormat/>
    <w:rsid w:val="00014c7f"/>
    <w:pPr>
      <w:widowControl/>
      <w:bidi w:val="0"/>
      <w:spacing w:lineRule="auto" w:line="240" w:before="120" w:after="60"/>
      <w:ind w:firstLine="567"/>
      <w:jc w:val="both"/>
    </w:pPr>
    <w:rPr>
      <w:rFonts w:ascii="Times New Roman" w:hAnsi="Times New Roman" w:eastAsia="Times New Roman" w:cs="Times New Roman"/>
      <w:color w:val="auto"/>
      <w:kern w:val="0"/>
      <w:sz w:val="24"/>
      <w:szCs w:val="24"/>
      <w:lang w:eastAsia="ru-RU" w:val="ru-RU" w:bidi="ar-SA"/>
    </w:rPr>
  </w:style>
  <w:style w:type="paragraph" w:styleId="Style30">
    <w:name w:val="Body Text Indent"/>
    <w:basedOn w:val="Normal"/>
    <w:link w:val="ac"/>
    <w:rsid w:val="00014c7f"/>
    <w:pPr>
      <w:spacing w:lineRule="auto" w:line="240"/>
      <w:ind w:left="567" w:firstLine="567"/>
      <w:jc w:val="center"/>
    </w:pPr>
    <w:rPr>
      <w:rFonts w:eastAsia="Times New Roman" w:cs="Times New Roman"/>
      <w:sz w:val="28"/>
      <w:szCs w:val="20"/>
      <w:lang w:eastAsia="ru-RU"/>
    </w:rPr>
  </w:style>
  <w:style w:type="paragraph" w:styleId="ListParagraph">
    <w:name w:val="List Paragraph"/>
    <w:basedOn w:val="Normal"/>
    <w:uiPriority w:val="34"/>
    <w:qFormat/>
    <w:rsid w:val="00014c7f"/>
    <w:pPr>
      <w:spacing w:before="0" w:after="200"/>
      <w:ind w:left="720" w:firstLine="709"/>
      <w:contextualSpacing/>
      <w:jc w:val="left"/>
    </w:pPr>
    <w:rPr>
      <w:rFonts w:ascii="Calibri" w:hAnsi="Calibri" w:asciiTheme="minorHAnsi" w:hAnsiTheme="minorHAnsi"/>
      <w:sz w:val="22"/>
    </w:rPr>
  </w:style>
  <w:style w:type="paragraph" w:styleId="Style31">
    <w:name w:val="Title"/>
    <w:basedOn w:val="Normal"/>
    <w:next w:val="Normal"/>
    <w:link w:val="af"/>
    <w:uiPriority w:val="10"/>
    <w:qFormat/>
    <w:rsid w:val="00014c7f"/>
    <w:pPr>
      <w:spacing w:lineRule="auto" w:line="240" w:before="60" w:after="240"/>
      <w:jc w:val="center"/>
    </w:pPr>
    <w:rPr>
      <w:rFonts w:eastAsia="Times New Roman" w:cs="Times New Roman"/>
      <w:bCs/>
      <w:kern w:val="2"/>
      <w:sz w:val="22"/>
      <w:szCs w:val="32"/>
      <w:lang w:eastAsia="ru-RU"/>
    </w:rPr>
  </w:style>
  <w:style w:type="paragraph" w:styleId="Style32" w:customStyle="1">
    <w:name w:val="Колонтитул"/>
    <w:basedOn w:val="Normal"/>
    <w:link w:val="aff4"/>
    <w:qFormat/>
    <w:rsid w:val="00297c05"/>
    <w:pPr>
      <w:widowControl w:val="false"/>
      <w:shd w:val="clear" w:color="auto" w:fill="FFFFFF"/>
      <w:spacing w:lineRule="exact" w:line="370"/>
      <w:ind w:hanging="0"/>
      <w:jc w:val="left"/>
    </w:pPr>
    <w:rPr>
      <w:rFonts w:eastAsia="Times New Roman" w:cs="Times New Roman"/>
      <w:b/>
      <w:bCs/>
      <w:sz w:val="28"/>
      <w:szCs w:val="28"/>
    </w:rPr>
  </w:style>
  <w:style w:type="paragraph" w:styleId="Style33">
    <w:name w:val="Header"/>
    <w:basedOn w:val="Normal"/>
    <w:link w:val="af1"/>
    <w:uiPriority w:val="99"/>
    <w:unhideWhenUsed/>
    <w:rsid w:val="00014c7f"/>
    <w:pPr>
      <w:tabs>
        <w:tab w:val="clear" w:pos="708"/>
        <w:tab w:val="center" w:pos="4677" w:leader="none"/>
        <w:tab w:val="right" w:pos="9355" w:leader="none"/>
      </w:tabs>
      <w:spacing w:lineRule="auto" w:line="240"/>
      <w:jc w:val="left"/>
    </w:pPr>
    <w:rPr>
      <w:rFonts w:ascii="Calibri" w:hAnsi="Calibri" w:asciiTheme="minorHAnsi" w:hAnsiTheme="minorHAnsi"/>
      <w:sz w:val="22"/>
    </w:rPr>
  </w:style>
  <w:style w:type="paragraph" w:styleId="Style34">
    <w:name w:val="Footer"/>
    <w:basedOn w:val="Normal"/>
    <w:link w:val="af3"/>
    <w:uiPriority w:val="99"/>
    <w:unhideWhenUsed/>
    <w:rsid w:val="00014c7f"/>
    <w:pPr>
      <w:tabs>
        <w:tab w:val="clear" w:pos="708"/>
        <w:tab w:val="center" w:pos="4677" w:leader="none"/>
        <w:tab w:val="right" w:pos="9355" w:leader="none"/>
      </w:tabs>
      <w:spacing w:lineRule="auto" w:line="240"/>
      <w:jc w:val="left"/>
    </w:pPr>
    <w:rPr>
      <w:rFonts w:ascii="Calibri" w:hAnsi="Calibri" w:asciiTheme="minorHAnsi" w:hAnsiTheme="minorHAnsi"/>
      <w:sz w:val="22"/>
    </w:rPr>
  </w:style>
  <w:style w:type="paragraph" w:styleId="ConsPlusTitle" w:customStyle="1">
    <w:name w:val="ConsPlusTitle"/>
    <w:qFormat/>
    <w:rsid w:val="00014c7f"/>
    <w:pPr>
      <w:widowControl w:val="false"/>
      <w:bidi w:val="0"/>
      <w:spacing w:lineRule="auto" w:line="240" w:before="240" w:after="120"/>
      <w:jc w:val="right"/>
    </w:pPr>
    <w:rPr>
      <w:rFonts w:ascii="Arial" w:hAnsi="Arial" w:eastAsia="Times New Roman" w:cs="Arial"/>
      <w:b/>
      <w:bCs/>
      <w:color w:val="auto"/>
      <w:kern w:val="0"/>
      <w:sz w:val="20"/>
      <w:szCs w:val="20"/>
      <w:lang w:eastAsia="ru-RU" w:val="ru-RU" w:bidi="ar-SA"/>
    </w:rPr>
  </w:style>
  <w:style w:type="paragraph" w:styleId="ConsPlusNormal" w:customStyle="1">
    <w:name w:val="ConsPlusNormal"/>
    <w:qFormat/>
    <w:rsid w:val="00014c7f"/>
    <w:pPr>
      <w:widowControl w:val="false"/>
      <w:bidi w:val="0"/>
      <w:spacing w:lineRule="auto" w:line="240" w:before="240" w:after="120"/>
      <w:ind w:firstLine="720"/>
      <w:jc w:val="right"/>
    </w:pPr>
    <w:rPr>
      <w:rFonts w:ascii="Arial" w:hAnsi="Arial" w:eastAsia="Times New Roman" w:cs="Arial"/>
      <w:color w:val="auto"/>
      <w:kern w:val="0"/>
      <w:sz w:val="20"/>
      <w:szCs w:val="20"/>
      <w:lang w:eastAsia="ru-RU" w:val="ru-RU" w:bidi="ar-SA"/>
    </w:rPr>
  </w:style>
  <w:style w:type="paragraph" w:styleId="ConsPlusNonformat" w:customStyle="1">
    <w:name w:val="ConsPlusNonformat"/>
    <w:qFormat/>
    <w:rsid w:val="00014c7f"/>
    <w:pPr>
      <w:widowControl w:val="false"/>
      <w:bidi w:val="0"/>
      <w:spacing w:lineRule="auto" w:line="240" w:before="240" w:after="120"/>
      <w:jc w:val="right"/>
    </w:pPr>
    <w:rPr>
      <w:rFonts w:ascii="Courier New" w:hAnsi="Courier New" w:eastAsia="Times New Roman" w:cs="Courier New"/>
      <w:color w:val="auto"/>
      <w:kern w:val="0"/>
      <w:sz w:val="20"/>
      <w:szCs w:val="20"/>
      <w:lang w:eastAsia="ru-RU" w:val="ru-RU" w:bidi="ar-SA"/>
    </w:rPr>
  </w:style>
  <w:style w:type="paragraph" w:styleId="Style35" w:customStyle="1">
    <w:name w:val="Знак"/>
    <w:basedOn w:val="Normal"/>
    <w:qFormat/>
    <w:rsid w:val="00014c7f"/>
    <w:pPr>
      <w:spacing w:lineRule="exact" w:line="240" w:before="240" w:after="160"/>
    </w:pPr>
    <w:rPr>
      <w:rFonts w:ascii="Verdana" w:hAnsi="Verdana" w:eastAsia="Times New Roman" w:cs="Verdana"/>
      <w:sz w:val="20"/>
      <w:szCs w:val="20"/>
      <w:lang w:val="en-US"/>
    </w:rPr>
  </w:style>
  <w:style w:type="paragraph" w:styleId="BodyTextIndent2">
    <w:name w:val="Body Text Indent 2"/>
    <w:basedOn w:val="Normal"/>
    <w:link w:val="23"/>
    <w:semiHidden/>
    <w:qFormat/>
    <w:rsid w:val="00014c7f"/>
    <w:pPr>
      <w:spacing w:lineRule="auto" w:line="240" w:before="240" w:after="120"/>
    </w:pPr>
    <w:rPr>
      <w:rFonts w:eastAsia="Times New Roman" w:cs="Times New Roman"/>
      <w:szCs w:val="24"/>
      <w:lang w:eastAsia="ru-RU"/>
    </w:rPr>
  </w:style>
  <w:style w:type="paragraph" w:styleId="NormalWeb">
    <w:name w:val="Normal (Web)"/>
    <w:basedOn w:val="Normal"/>
    <w:uiPriority w:val="99"/>
    <w:qFormat/>
    <w:rsid w:val="00014c7f"/>
    <w:pPr>
      <w:spacing w:lineRule="auto" w:line="240" w:before="180" w:after="180"/>
      <w:ind w:left="180" w:right="180" w:firstLine="709"/>
    </w:pPr>
    <w:rPr>
      <w:rFonts w:eastAsia="Times New Roman" w:cs="Times New Roman"/>
      <w:color w:val="252525"/>
      <w:sz w:val="20"/>
      <w:szCs w:val="20"/>
      <w:lang w:eastAsia="ru-RU"/>
    </w:rPr>
  </w:style>
  <w:style w:type="paragraph" w:styleId="Default" w:customStyle="1">
    <w:name w:val="Default"/>
    <w:qFormat/>
    <w:rsid w:val="00014c7f"/>
    <w:pPr>
      <w:widowControl/>
      <w:bidi w:val="0"/>
      <w:spacing w:lineRule="auto" w:line="240" w:before="240" w:after="120"/>
      <w:jc w:val="right"/>
    </w:pPr>
    <w:rPr>
      <w:rFonts w:ascii="Times New Roman" w:hAnsi="Times New Roman" w:eastAsia="Calibri" w:cs="Times New Roman"/>
      <w:color w:val="000000"/>
      <w:kern w:val="0"/>
      <w:sz w:val="24"/>
      <w:szCs w:val="24"/>
      <w:lang w:eastAsia="ru-RU" w:val="ru-RU" w:bidi="ar-SA"/>
    </w:rPr>
  </w:style>
  <w:style w:type="paragraph" w:styleId="Style36">
    <w:name w:val="Subtitle"/>
    <w:basedOn w:val="Normal"/>
    <w:next w:val="Normal"/>
    <w:link w:val="af9"/>
    <w:uiPriority w:val="11"/>
    <w:qFormat/>
    <w:rsid w:val="00014c7f"/>
    <w:pPr>
      <w:spacing w:lineRule="auto" w:line="240" w:before="240" w:after="120"/>
      <w:jc w:val="center"/>
    </w:pPr>
    <w:rPr>
      <w:rFonts w:eastAsia="Times New Roman" w:cs="Times New Roman"/>
      <w:szCs w:val="24"/>
      <w:lang w:eastAsia="ru-RU"/>
    </w:rPr>
  </w:style>
  <w:style w:type="paragraph" w:styleId="PzOglav" w:customStyle="1">
    <w:name w:val="PzOglav"/>
    <w:basedOn w:val="Normal"/>
    <w:qFormat/>
    <w:rsid w:val="00014c7f"/>
    <w:pPr>
      <w:tabs>
        <w:tab w:val="clear" w:pos="708"/>
        <w:tab w:val="left" w:pos="8505" w:leader="dot"/>
      </w:tabs>
      <w:spacing w:lineRule="auto" w:line="240" w:before="240" w:after="120"/>
      <w:ind w:firstLine="567"/>
    </w:pPr>
    <w:rPr>
      <w:rFonts w:ascii="Arial" w:hAnsi="Arial" w:eastAsia="Times New Roman" w:cs="Arial"/>
      <w:sz w:val="20"/>
      <w:szCs w:val="20"/>
    </w:rPr>
  </w:style>
  <w:style w:type="paragraph" w:styleId="Xl60" w:customStyle="1">
    <w:name w:val="xl60"/>
    <w:basedOn w:val="Normal"/>
    <w:qFormat/>
    <w:rsid w:val="00014c7f"/>
    <w:pPr>
      <w:spacing w:lineRule="auto" w:line="240" w:beforeAutospacing="1" w:afterAutospacing="1"/>
      <w:jc w:val="left"/>
    </w:pPr>
    <w:rPr>
      <w:rFonts w:eastAsia="Times New Roman" w:cs="Times New Roman"/>
      <w:szCs w:val="24"/>
      <w:lang w:eastAsia="ru-RU"/>
    </w:rPr>
  </w:style>
  <w:style w:type="paragraph" w:styleId="Xl61" w:customStyle="1">
    <w:name w:val="xl61"/>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sz w:val="20"/>
      <w:szCs w:val="20"/>
      <w:lang w:eastAsia="ru-RU"/>
    </w:rPr>
  </w:style>
  <w:style w:type="paragraph" w:styleId="Xl62" w:customStyle="1">
    <w:name w:val="xl62"/>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left"/>
    </w:pPr>
    <w:rPr>
      <w:rFonts w:eastAsia="Times New Roman" w:cs="Times New Roman"/>
      <w:sz w:val="20"/>
      <w:szCs w:val="20"/>
      <w:lang w:eastAsia="ru-RU"/>
    </w:rPr>
  </w:style>
  <w:style w:type="paragraph" w:styleId="Xl63" w:customStyle="1">
    <w:name w:val="xl63"/>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left"/>
    </w:pPr>
    <w:rPr>
      <w:rFonts w:eastAsia="Times New Roman" w:cs="Times New Roman"/>
      <w:sz w:val="20"/>
      <w:szCs w:val="20"/>
      <w:lang w:eastAsia="ru-RU"/>
    </w:rPr>
  </w:style>
  <w:style w:type="paragraph" w:styleId="Xl64" w:customStyle="1">
    <w:name w:val="xl64"/>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right"/>
      <w:textAlignment w:val="top"/>
    </w:pPr>
    <w:rPr>
      <w:rFonts w:eastAsia="Times New Roman" w:cs="Times New Roman"/>
      <w:sz w:val="20"/>
      <w:szCs w:val="20"/>
      <w:lang w:eastAsia="ru-RU"/>
    </w:rPr>
  </w:style>
  <w:style w:type="paragraph" w:styleId="Xl65" w:customStyle="1">
    <w:name w:val="xl65"/>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left"/>
      <w:textAlignment w:val="top"/>
    </w:pPr>
    <w:rPr>
      <w:rFonts w:eastAsia="Times New Roman" w:cs="Times New Roman"/>
      <w:sz w:val="20"/>
      <w:szCs w:val="20"/>
      <w:lang w:eastAsia="ru-RU"/>
    </w:rPr>
  </w:style>
  <w:style w:type="paragraph" w:styleId="Xl66" w:customStyle="1">
    <w:name w:val="xl66"/>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right"/>
      <w:textAlignment w:val="top"/>
    </w:pPr>
    <w:rPr>
      <w:rFonts w:eastAsia="Times New Roman" w:cs="Times New Roman"/>
      <w:sz w:val="20"/>
      <w:szCs w:val="20"/>
      <w:lang w:eastAsia="ru-RU"/>
    </w:rPr>
  </w:style>
  <w:style w:type="paragraph" w:styleId="Xl67" w:customStyle="1">
    <w:name w:val="xl67"/>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right"/>
    </w:pPr>
    <w:rPr>
      <w:rFonts w:eastAsia="Times New Roman" w:cs="Times New Roman"/>
      <w:b/>
      <w:bCs/>
      <w:sz w:val="20"/>
      <w:szCs w:val="20"/>
      <w:lang w:eastAsia="ru-RU"/>
    </w:rPr>
  </w:style>
  <w:style w:type="paragraph" w:styleId="Xl68" w:customStyle="1">
    <w:name w:val="xl68"/>
    <w:basedOn w:val="Normal"/>
    <w:qFormat/>
    <w:rsid w:val="00014c7f"/>
    <w:pPr>
      <w:pBdr>
        <w:top w:val="single" w:sz="4" w:space="0" w:color="000000"/>
        <w:left w:val="single" w:sz="4" w:space="0" w:color="000000"/>
        <w:bottom w:val="single" w:sz="4" w:space="0" w:color="000000"/>
      </w:pBdr>
      <w:spacing w:lineRule="auto" w:line="240" w:beforeAutospacing="1" w:afterAutospacing="1"/>
      <w:jc w:val="center"/>
      <w:textAlignment w:val="top"/>
    </w:pPr>
    <w:rPr>
      <w:rFonts w:eastAsia="Times New Roman" w:cs="Times New Roman"/>
      <w:b/>
      <w:bCs/>
      <w:sz w:val="20"/>
      <w:szCs w:val="20"/>
      <w:lang w:eastAsia="ru-RU"/>
    </w:rPr>
  </w:style>
  <w:style w:type="paragraph" w:styleId="Xl69" w:customStyle="1">
    <w:name w:val="xl69"/>
    <w:basedOn w:val="Normal"/>
    <w:qFormat/>
    <w:rsid w:val="00014c7f"/>
    <w:pPr>
      <w:pBdr>
        <w:top w:val="single" w:sz="4" w:space="0" w:color="000000"/>
        <w:bottom w:val="single" w:sz="4" w:space="0" w:color="000000"/>
      </w:pBdr>
      <w:spacing w:lineRule="auto" w:line="240" w:beforeAutospacing="1" w:afterAutospacing="1"/>
      <w:jc w:val="center"/>
      <w:textAlignment w:val="top"/>
    </w:pPr>
    <w:rPr>
      <w:rFonts w:eastAsia="Times New Roman" w:cs="Times New Roman"/>
      <w:b/>
      <w:bCs/>
      <w:sz w:val="20"/>
      <w:szCs w:val="20"/>
      <w:lang w:eastAsia="ru-RU"/>
    </w:rPr>
  </w:style>
  <w:style w:type="paragraph" w:styleId="Xl70" w:customStyle="1">
    <w:name w:val="xl70"/>
    <w:basedOn w:val="Normal"/>
    <w:qFormat/>
    <w:rsid w:val="00014c7f"/>
    <w:pPr>
      <w:pBdr>
        <w:top w:val="single" w:sz="4" w:space="0" w:color="000000"/>
        <w:bottom w:val="single" w:sz="4" w:space="0" w:color="000000"/>
        <w:right w:val="single" w:sz="4" w:space="0" w:color="000000"/>
      </w:pBdr>
      <w:spacing w:lineRule="auto" w:line="240" w:beforeAutospacing="1" w:afterAutospacing="1"/>
      <w:jc w:val="center"/>
      <w:textAlignment w:val="top"/>
    </w:pPr>
    <w:rPr>
      <w:rFonts w:eastAsia="Times New Roman" w:cs="Times New Roman"/>
      <w:b/>
      <w:bCs/>
      <w:sz w:val="20"/>
      <w:szCs w:val="20"/>
      <w:lang w:eastAsia="ru-RU"/>
    </w:rPr>
  </w:style>
  <w:style w:type="paragraph" w:styleId="Xl71" w:customStyle="1">
    <w:name w:val="xl71"/>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b/>
      <w:bCs/>
      <w:sz w:val="20"/>
      <w:szCs w:val="20"/>
      <w:lang w:eastAsia="ru-RU"/>
    </w:rPr>
  </w:style>
  <w:style w:type="paragraph" w:styleId="Xl72" w:customStyle="1">
    <w:name w:val="xl72"/>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left"/>
    </w:pPr>
    <w:rPr>
      <w:rFonts w:eastAsia="Times New Roman" w:cs="Times New Roman"/>
      <w:b/>
      <w:bCs/>
      <w:sz w:val="20"/>
      <w:szCs w:val="20"/>
      <w:lang w:eastAsia="ru-RU"/>
    </w:rPr>
  </w:style>
  <w:style w:type="paragraph" w:styleId="Xl73" w:customStyle="1">
    <w:name w:val="xl73"/>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left"/>
    </w:pPr>
    <w:rPr>
      <w:rFonts w:eastAsia="Times New Roman" w:cs="Times New Roman"/>
      <w:b/>
      <w:bCs/>
      <w:sz w:val="20"/>
      <w:szCs w:val="20"/>
      <w:lang w:eastAsia="ru-RU"/>
    </w:rPr>
  </w:style>
  <w:style w:type="paragraph" w:styleId="Xl74" w:customStyle="1">
    <w:name w:val="xl74"/>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left"/>
    </w:pPr>
    <w:rPr>
      <w:rFonts w:eastAsia="Times New Roman" w:cs="Times New Roman"/>
      <w:b/>
      <w:bCs/>
      <w:sz w:val="20"/>
      <w:szCs w:val="20"/>
      <w:lang w:eastAsia="ru-RU"/>
    </w:rPr>
  </w:style>
  <w:style w:type="paragraph" w:styleId="Xl75" w:customStyle="1">
    <w:name w:val="xl75"/>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eastAsia="Times New Roman" w:cs="Times New Roman"/>
      <w:sz w:val="20"/>
      <w:szCs w:val="20"/>
      <w:lang w:eastAsia="ru-RU"/>
    </w:rPr>
  </w:style>
  <w:style w:type="paragraph" w:styleId="Caption">
    <w:name w:val="caption"/>
    <w:basedOn w:val="Normal"/>
    <w:next w:val="Normal"/>
    <w:uiPriority w:val="35"/>
    <w:unhideWhenUsed/>
    <w:qFormat/>
    <w:rsid w:val="00014c7f"/>
    <w:pPr>
      <w:spacing w:lineRule="auto" w:line="240" w:before="240" w:after="120"/>
    </w:pPr>
    <w:rPr>
      <w:rFonts w:eastAsia="Times New Roman" w:cs="Times New Roman"/>
      <w:b/>
      <w:bCs/>
      <w:sz w:val="20"/>
      <w:szCs w:val="20"/>
      <w:lang w:eastAsia="ru-RU"/>
    </w:rPr>
  </w:style>
  <w:style w:type="paragraph" w:styleId="14" w:customStyle="1">
    <w:name w:val="Обычный + 14 пт"/>
    <w:basedOn w:val="Normal"/>
    <w:qFormat/>
    <w:rsid w:val="00014c7f"/>
    <w:pPr>
      <w:spacing w:lineRule="auto" w:line="240"/>
      <w:ind w:right="-10" w:firstLine="708"/>
    </w:pPr>
    <w:rPr>
      <w:rFonts w:eastAsia="Times New Roman" w:cs="Times New Roman"/>
      <w:sz w:val="28"/>
      <w:szCs w:val="28"/>
      <w:lang w:eastAsia="ru-RU"/>
    </w:rPr>
  </w:style>
  <w:style w:type="paragraph" w:styleId="ConsCell" w:customStyle="1">
    <w:name w:val="ConsCell"/>
    <w:uiPriority w:val="99"/>
    <w:qFormat/>
    <w:rsid w:val="00014c7f"/>
    <w:pPr>
      <w:widowControl w:val="false"/>
      <w:bidi w:val="0"/>
      <w:spacing w:lineRule="auto" w:line="240" w:before="0" w:after="0"/>
      <w:ind w:right="19772" w:hanging="0"/>
      <w:jc w:val="left"/>
    </w:pPr>
    <w:rPr>
      <w:rFonts w:ascii="Arial" w:hAnsi="Arial" w:eastAsia="Times New Roman" w:cs="Arial"/>
      <w:color w:val="auto"/>
      <w:kern w:val="0"/>
      <w:sz w:val="20"/>
      <w:szCs w:val="20"/>
      <w:lang w:eastAsia="ru-RU" w:val="ru-RU" w:bidi="ar-SA"/>
    </w:rPr>
  </w:style>
  <w:style w:type="paragraph" w:styleId="Xl76" w:customStyle="1">
    <w:name w:val="xl76"/>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color w:val="000000"/>
      <w:sz w:val="20"/>
      <w:szCs w:val="20"/>
      <w:lang w:eastAsia="ru-RU"/>
    </w:rPr>
  </w:style>
  <w:style w:type="paragraph" w:styleId="Xl77" w:customStyle="1">
    <w:name w:val="xl77"/>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color w:val="000000"/>
      <w:szCs w:val="24"/>
      <w:lang w:eastAsia="ru-RU"/>
    </w:rPr>
  </w:style>
  <w:style w:type="paragraph" w:styleId="Xl78" w:customStyle="1">
    <w:name w:val="xl78"/>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color w:val="000000"/>
      <w:szCs w:val="24"/>
      <w:lang w:eastAsia="ru-RU"/>
    </w:rPr>
  </w:style>
  <w:style w:type="paragraph" w:styleId="Xl79" w:customStyle="1">
    <w:name w:val="xl79"/>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color w:val="000000"/>
      <w:szCs w:val="24"/>
      <w:lang w:eastAsia="ru-RU"/>
    </w:rPr>
  </w:style>
  <w:style w:type="paragraph" w:styleId="Xl80" w:customStyle="1">
    <w:name w:val="xl80"/>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color w:val="000000"/>
      <w:szCs w:val="24"/>
      <w:lang w:eastAsia="ru-RU"/>
    </w:rPr>
  </w:style>
  <w:style w:type="paragraph" w:styleId="Xl81" w:customStyle="1">
    <w:name w:val="xl81"/>
    <w:basedOn w:val="Normal"/>
    <w:qFormat/>
    <w:rsid w:val="00014c7f"/>
    <w:pPr>
      <w:pBdr>
        <w:top w:val="single" w:sz="4" w:space="0" w:color="000000"/>
        <w:left w:val="single" w:sz="4" w:space="0" w:color="000000"/>
        <w:right w:val="single" w:sz="4" w:space="0" w:color="000000"/>
      </w:pBdr>
      <w:shd w:val="clear" w:color="000000" w:fill="FFFF00"/>
      <w:spacing w:lineRule="auto" w:line="240" w:beforeAutospacing="1" w:afterAutospacing="1"/>
      <w:jc w:val="left"/>
      <w:textAlignment w:val="center"/>
    </w:pPr>
    <w:rPr>
      <w:rFonts w:eastAsia="Times New Roman" w:cs="Times New Roman"/>
      <w:szCs w:val="24"/>
      <w:lang w:eastAsia="ru-RU"/>
    </w:rPr>
  </w:style>
  <w:style w:type="paragraph" w:styleId="Xl82" w:customStyle="1">
    <w:name w:val="xl82"/>
    <w:basedOn w:val="Normal"/>
    <w:qFormat/>
    <w:rsid w:val="00014c7f"/>
    <w:pPr>
      <w:pBdr>
        <w:left w:val="single" w:sz="4" w:space="0" w:color="000000"/>
        <w:bottom w:val="single" w:sz="4" w:space="0" w:color="000000"/>
        <w:right w:val="single" w:sz="4" w:space="0" w:color="000000"/>
      </w:pBdr>
      <w:shd w:val="clear" w:color="000000" w:fill="FFFF00"/>
      <w:spacing w:lineRule="auto" w:line="240" w:beforeAutospacing="1" w:afterAutospacing="1"/>
      <w:jc w:val="left"/>
      <w:textAlignment w:val="center"/>
    </w:pPr>
    <w:rPr>
      <w:rFonts w:eastAsia="Times New Roman" w:cs="Times New Roman"/>
      <w:szCs w:val="24"/>
      <w:lang w:eastAsia="ru-RU"/>
    </w:rPr>
  </w:style>
  <w:style w:type="paragraph" w:styleId="Xl83" w:customStyle="1">
    <w:name w:val="xl83"/>
    <w:basedOn w:val="Normal"/>
    <w:qFormat/>
    <w:rsid w:val="00014c7f"/>
    <w:pPr>
      <w:pBdr>
        <w:top w:val="single" w:sz="4" w:space="0" w:color="000000"/>
        <w:left w:val="single" w:sz="4" w:space="0" w:color="000000"/>
        <w:right w:val="single" w:sz="4" w:space="0" w:color="000000"/>
      </w:pBdr>
      <w:spacing w:lineRule="auto" w:line="240" w:beforeAutospacing="1" w:afterAutospacing="1"/>
      <w:jc w:val="left"/>
      <w:textAlignment w:val="center"/>
    </w:pPr>
    <w:rPr>
      <w:rFonts w:eastAsia="Times New Roman" w:cs="Times New Roman"/>
      <w:szCs w:val="24"/>
      <w:lang w:eastAsia="ru-RU"/>
    </w:rPr>
  </w:style>
  <w:style w:type="paragraph" w:styleId="Xl84" w:customStyle="1">
    <w:name w:val="xl84"/>
    <w:basedOn w:val="Normal"/>
    <w:qFormat/>
    <w:rsid w:val="00014c7f"/>
    <w:pPr>
      <w:pBdr>
        <w:left w:val="single" w:sz="4" w:space="0" w:color="000000"/>
        <w:bottom w:val="single" w:sz="4" w:space="0" w:color="000000"/>
        <w:right w:val="single" w:sz="4" w:space="0" w:color="000000"/>
      </w:pBdr>
      <w:spacing w:lineRule="auto" w:line="240" w:beforeAutospacing="1" w:afterAutospacing="1"/>
      <w:jc w:val="left"/>
      <w:textAlignment w:val="center"/>
    </w:pPr>
    <w:rPr>
      <w:rFonts w:eastAsia="Times New Roman" w:cs="Times New Roman"/>
      <w:szCs w:val="24"/>
      <w:lang w:eastAsia="ru-RU"/>
    </w:rPr>
  </w:style>
  <w:style w:type="paragraph" w:styleId="Xl85" w:customStyle="1">
    <w:name w:val="xl85"/>
    <w:basedOn w:val="Normal"/>
    <w:qFormat/>
    <w:rsid w:val="00014c7f"/>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cs="Times New Roman"/>
      <w:szCs w:val="24"/>
      <w:lang w:eastAsia="ru-RU"/>
    </w:rPr>
  </w:style>
  <w:style w:type="paragraph" w:styleId="Font5" w:customStyle="1">
    <w:name w:val="font5"/>
    <w:basedOn w:val="Normal"/>
    <w:qFormat/>
    <w:rsid w:val="00014c7f"/>
    <w:pPr>
      <w:spacing w:lineRule="auto" w:line="240" w:beforeAutospacing="1" w:afterAutospacing="1"/>
      <w:jc w:val="left"/>
    </w:pPr>
    <w:rPr>
      <w:rFonts w:eastAsia="Times New Roman" w:cs="Times New Roman"/>
      <w:color w:val="000000"/>
      <w:szCs w:val="24"/>
      <w:lang w:eastAsia="ru-RU"/>
    </w:rPr>
  </w:style>
  <w:style w:type="paragraph" w:styleId="Font6" w:customStyle="1">
    <w:name w:val="font6"/>
    <w:basedOn w:val="Normal"/>
    <w:qFormat/>
    <w:rsid w:val="00014c7f"/>
    <w:pPr>
      <w:spacing w:lineRule="auto" w:line="240" w:beforeAutospacing="1" w:afterAutospacing="1"/>
      <w:jc w:val="left"/>
    </w:pPr>
    <w:rPr>
      <w:rFonts w:eastAsia="Times New Roman" w:cs="Times New Roman"/>
      <w:color w:val="000000"/>
      <w:szCs w:val="24"/>
      <w:lang w:eastAsia="ru-RU"/>
    </w:rPr>
  </w:style>
  <w:style w:type="paragraph" w:styleId="Annotationtext">
    <w:name w:val="annotation text"/>
    <w:basedOn w:val="Normal"/>
    <w:link w:val="aff"/>
    <w:uiPriority w:val="99"/>
    <w:semiHidden/>
    <w:unhideWhenUsed/>
    <w:qFormat/>
    <w:rsid w:val="00b4277e"/>
    <w:pPr>
      <w:spacing w:lineRule="auto" w:line="240"/>
    </w:pPr>
    <w:rPr>
      <w:sz w:val="20"/>
      <w:szCs w:val="20"/>
    </w:rPr>
  </w:style>
  <w:style w:type="paragraph" w:styleId="Annotationsubject">
    <w:name w:val="annotation subject"/>
    <w:basedOn w:val="Annotationtext"/>
    <w:next w:val="Annotationtext"/>
    <w:link w:val="aff1"/>
    <w:uiPriority w:val="99"/>
    <w:semiHidden/>
    <w:unhideWhenUsed/>
    <w:qFormat/>
    <w:rsid w:val="00b4277e"/>
    <w:pPr/>
    <w:rPr>
      <w:b/>
      <w:bCs/>
    </w:rPr>
  </w:style>
  <w:style w:type="paragraph" w:styleId="Style37" w:customStyle="1">
    <w:name w:val="Подпись к таблице"/>
    <w:basedOn w:val="Normal"/>
    <w:link w:val="aff2"/>
    <w:qFormat/>
    <w:rsid w:val="002a6eb4"/>
    <w:pPr>
      <w:widowControl w:val="false"/>
      <w:shd w:val="clear" w:color="auto" w:fill="FFFFFF"/>
      <w:spacing w:lineRule="exact" w:line="370"/>
      <w:ind w:hanging="0"/>
    </w:pPr>
    <w:rPr>
      <w:rFonts w:eastAsia="Times New Roman" w:cs="Times New Roman"/>
      <w:sz w:val="28"/>
      <w:szCs w:val="28"/>
    </w:rPr>
  </w:style>
  <w:style w:type="paragraph" w:styleId="Style38">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721cc1"/>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footer" Target="footer11.xml"/><Relationship Id="rId13" Type="http://schemas.openxmlformats.org/officeDocument/2006/relationships/footer" Target="footer12.xml"/><Relationship Id="rId14" Type="http://schemas.openxmlformats.org/officeDocument/2006/relationships/footer" Target="footer13.xml"/><Relationship Id="rId15" Type="http://schemas.openxmlformats.org/officeDocument/2006/relationships/footer" Target="footer14.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1174A-2AEA-496A-B1D0-8B0497162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5644</TotalTime>
  <Application>LibreOffice/7.2.5.2$Windows_X86_64 LibreOffice_project/499f9727c189e6ef3471021d6132d4c694f357e5</Application>
  <AppVersion>15.0000</AppVersion>
  <Pages>89</Pages>
  <Words>5040</Words>
  <Characters>33230</Characters>
  <CharactersWithSpaces>37055</CharactersWithSpaces>
  <Paragraphs>1201</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2014-08-04T06:20:00Z</dcterms:created>
  <dc:creator>M</dc:creator>
  <dc:description/>
  <dc:language>ru-RU</dc:language>
  <cp:lastModifiedBy>User</cp:lastModifiedBy>
  <cp:lastPrinted>2024-04-08T04:35:00Z</cp:lastPrinted>
  <dcterms:modified xsi:type="dcterms:W3CDTF">2024-05-06T01:40:00Z</dcterms:modified>
  <cp:revision>234</cp:revision>
  <dc:subject/>
  <dc:title/>
</cp:coreProperties>
</file>

<file path=docProps/custom.xml><?xml version="1.0" encoding="utf-8"?>
<Properties xmlns="http://schemas.openxmlformats.org/officeDocument/2006/custom-properties" xmlns:vt="http://schemas.openxmlformats.org/officeDocument/2006/docPropsVTypes"/>
</file>